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wmf" ContentType="image/x-wmf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12" w:before="0" w:after="288"/>
        <w:jc w:val="center"/>
        <w:rPr>
          <w:rFonts w:ascii="Arial" w:hAnsi="Arial" w:eastAsia="Calibri" w:cs="Times New Roman"/>
          <w:b/>
          <w:b/>
          <w:color w:val="000000"/>
          <w:sz w:val="20"/>
          <w:szCs w:val="22"/>
          <w:lang w:eastAsia="en-US"/>
        </w:rPr>
      </w:pPr>
      <w:r>
        <w:rPr>
          <w:rFonts w:eastAsia="Calibri" w:cs="Times New Roman" w:ascii="Arial" w:hAnsi="Arial"/>
          <w:b/>
          <w:color w:val="000000"/>
          <w:sz w:val="20"/>
          <w:szCs w:val="22"/>
          <w:lang w:eastAsia="en-US"/>
        </w:rPr>
      </w:r>
    </w:p>
    <w:p>
      <w:pPr>
        <w:pStyle w:val="Normal"/>
        <w:spacing w:lineRule="auto" w:line="312" w:before="360" w:after="288"/>
        <w:jc w:val="center"/>
        <w:rPr>
          <w:rFonts w:ascii="Arial" w:hAnsi="Arial" w:eastAsia="Calibri" w:cs="Arial"/>
          <w:b w:val="false"/>
          <w:b w:val="false"/>
          <w:bCs w:val="false"/>
          <w:i w:val="false"/>
          <w:i w:val="false"/>
          <w:iCs w:val="false"/>
          <w:color w:val="auto"/>
          <w:sz w:val="20"/>
          <w:szCs w:val="20"/>
          <w:lang w:eastAsia="en-US"/>
        </w:rPr>
      </w:pPr>
      <w: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2558415</wp:posOffset>
            </wp:positionH>
            <wp:positionV relativeFrom="paragraph">
              <wp:posOffset>-154940</wp:posOffset>
            </wp:positionV>
            <wp:extent cx="737870" cy="806450"/>
            <wp:effectExtent l="0" t="0" r="0" b="0"/>
            <wp:wrapTopAndBottom/>
            <wp:docPr id="1" name="Imagem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Arial" w:ascii="Arial" w:hAnsi="Arial"/>
          <w:b w:val="false"/>
          <w:bCs w:val="false"/>
          <w:i w:val="false"/>
          <w:iCs w:val="false"/>
          <w:color w:val="auto"/>
          <w:sz w:val="20"/>
          <w:szCs w:val="20"/>
          <w:lang w:eastAsia="en-US"/>
        </w:rPr>
        <w:t>E</w:t>
      </w:r>
      <w:r>
        <w:rPr>
          <w:rFonts w:eastAsia="Calibri" w:cs="Arial" w:ascii="Arial" w:hAnsi="Arial"/>
          <w:b w:val="false"/>
          <w:bCs w:val="false"/>
          <w:i w:val="false"/>
          <w:iCs w:val="false"/>
          <w:color w:val="auto"/>
          <w:sz w:val="20"/>
          <w:szCs w:val="20"/>
          <w:lang w:eastAsia="en-US"/>
        </w:rPr>
        <w:t>NTIDADE PÚBLICA</w:t>
      </w:r>
    </w:p>
    <w:p>
      <w:pPr>
        <w:pStyle w:val="Normal"/>
        <w:spacing w:lineRule="auto" w:line="312" w:before="120" w:after="0"/>
        <w:jc w:val="center"/>
        <w:rPr/>
      </w:pPr>
      <w:r>
        <w:rPr>
          <w:rFonts w:eastAsia="Calibri" w:cs="Times New Roman" w:ascii="Arial" w:hAnsi="Arial"/>
          <w:color w:val="000000"/>
          <w:sz w:val="20"/>
          <w:szCs w:val="22"/>
          <w:lang w:eastAsia="en-US"/>
        </w:rPr>
        <w:t xml:space="preserve">Processo </w:t>
      </w:r>
      <w:r>
        <w:rPr>
          <w:rFonts w:eastAsia="Calibri" w:cs="Arial" w:ascii="Arial" w:hAnsi="Arial"/>
          <w:color w:val="000000"/>
          <w:sz w:val="20"/>
          <w:szCs w:val="20"/>
          <w:lang w:eastAsia="en-US"/>
        </w:rPr>
        <w:t>Administrativo n</w:t>
      </w:r>
      <w:r>
        <w:rPr>
          <w:rFonts w:eastAsia="Calibri" w:cs="Arial" w:ascii="Arial" w:hAnsi="Arial"/>
          <w:bCs/>
          <w:color w:val="000000"/>
          <w:sz w:val="20"/>
          <w:szCs w:val="20"/>
          <w:lang w:eastAsia="en-US"/>
        </w:rPr>
        <w:t xml:space="preserve">° </w:t>
      </w:r>
      <w:r>
        <w:rPr>
          <w:rFonts w:eastAsia="Calibri" w:cs="Arial" w:ascii="Arial" w:hAnsi="Arial"/>
          <w:bCs/>
          <w:i/>
          <w:iCs/>
          <w:color w:val="FF0000"/>
          <w:sz w:val="20"/>
          <w:szCs w:val="20"/>
          <w:lang w:eastAsia="en-US"/>
        </w:rPr>
        <w:t xml:space="preserve"> </w:t>
      </w:r>
      <w:r>
        <w:rPr>
          <w:rFonts w:eastAsia="Calibri" w:cs="Arial" w:ascii="Arial" w:hAnsi="Arial"/>
          <w:b/>
          <w:bCs/>
          <w:i w:val="false"/>
          <w:iCs w:val="false"/>
          <w:color w:val="auto"/>
          <w:sz w:val="20"/>
          <w:szCs w:val="20"/>
          <w:u w:val="none"/>
          <w:lang w:eastAsia="en-US"/>
        </w:rPr>
        <w:t>65324.000467/2026-90</w:t>
      </w:r>
    </w:p>
    <w:p>
      <w:pPr>
        <w:pStyle w:val="Normal"/>
        <w:spacing w:lineRule="auto" w:line="312" w:before="0" w:after="288"/>
        <w:jc w:val="center"/>
        <w:rPr/>
      </w:pPr>
      <w:r>
        <w:rPr>
          <w:rFonts w:eastAsia="Calibri" w:cs="Arial" w:ascii="Arial" w:hAnsi="Arial"/>
          <w:color w:val="000000"/>
          <w:sz w:val="20"/>
          <w:szCs w:val="20"/>
          <w:lang w:eastAsia="en-US"/>
        </w:rPr>
        <w:t xml:space="preserve">Ata de Registro de Preços </w:t>
      </w:r>
      <w:r>
        <w:rPr>
          <w:rFonts w:eastAsia="Calibri" w:cs="Times New Roman" w:ascii="Arial" w:hAnsi="Arial"/>
          <w:color w:val="000000"/>
          <w:sz w:val="20"/>
          <w:szCs w:val="22"/>
          <w:lang w:eastAsia="en-US"/>
        </w:rPr>
        <w:t>nº</w:t>
      </w:r>
      <w:r>
        <w:rPr>
          <w:rFonts w:eastAsia="Calibri" w:cs="Arial" w:ascii="Arial" w:hAnsi="Arial"/>
          <w:color w:val="auto"/>
          <w:sz w:val="20"/>
          <w:szCs w:val="20"/>
          <w:lang w:eastAsia="en-US"/>
        </w:rPr>
        <w:t xml:space="preserve"> </w:t>
      </w:r>
      <w:r>
        <w:rPr>
          <w:rFonts w:eastAsia="Calibri" w:cs="Arial" w:ascii="Arial" w:hAnsi="Arial"/>
          <w:i/>
          <w:iCs/>
          <w:color w:val="auto"/>
          <w:sz w:val="20"/>
          <w:szCs w:val="20"/>
          <w:lang w:eastAsia="en-US"/>
        </w:rPr>
        <w:t>XX</w:t>
      </w:r>
      <w:r>
        <w:rPr>
          <w:rFonts w:eastAsia="Calibri" w:cs="Arial" w:ascii="Arial" w:hAnsi="Arial"/>
          <w:color w:val="auto"/>
          <w:sz w:val="20"/>
          <w:szCs w:val="20"/>
          <w:lang w:eastAsia="en-US"/>
        </w:rPr>
        <w:t>/</w:t>
      </w:r>
      <w:r>
        <w:rPr>
          <w:rFonts w:eastAsia="Calibri" w:cs="Arial" w:ascii="Arial" w:hAnsi="Arial"/>
          <w:i/>
          <w:iCs/>
          <w:color w:val="auto"/>
          <w:sz w:val="20"/>
          <w:szCs w:val="20"/>
          <w:lang w:eastAsia="en-US"/>
        </w:rPr>
        <w:t>2026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left="0" w:right="-28" w:firstLine="1418"/>
        <w:jc w:val="both"/>
        <w:rPr/>
      </w:pPr>
      <w:r>
        <w:rPr>
          <w:rFonts w:cs="Arial" w:ascii="Arial" w:hAnsi="Arial"/>
          <w:sz w:val="20"/>
          <w:szCs w:val="20"/>
        </w:rPr>
        <w:t xml:space="preserve">A </w:t>
      </w:r>
      <w:r>
        <w:rPr>
          <w:rFonts w:eastAsia="Arial" w:cs="Arial" w:ascii="Arial" w:hAnsi="Arial"/>
          <w:b w:val="false"/>
          <w:bCs w:val="false"/>
          <w:i w:val="false"/>
          <w:iCs w:val="false"/>
          <w:color w:val="auto"/>
          <w:sz w:val="20"/>
          <w:szCs w:val="20"/>
          <w:u w:val="none"/>
        </w:rPr>
        <w:t>Base Administrativa do Comando de Operações Especiais</w:t>
      </w:r>
      <w:r>
        <w:rPr>
          <w:rFonts w:cs="Arial" w:ascii="Arial" w:hAnsi="Arial"/>
          <w:sz w:val="20"/>
          <w:szCs w:val="20"/>
        </w:rPr>
        <w:t xml:space="preserve">, </w:t>
      </w:r>
      <w:r>
        <w:rPr>
          <w:rFonts w:eastAsia="Arial" w:cs="Arial" w:ascii="Arial" w:hAnsi="Arial"/>
          <w:sz w:val="20"/>
          <w:szCs w:val="20"/>
        </w:rPr>
        <w:t xml:space="preserve">com sede na </w:t>
      </w:r>
      <w:r>
        <w:rPr>
          <w:rFonts w:eastAsia="Arial" w:cs="Arial" w:ascii="Arial" w:hAnsi="Arial"/>
          <w:b w:val="false"/>
          <w:bCs w:val="false"/>
          <w:i w:val="false"/>
          <w:iCs w:val="false"/>
          <w:color w:val="auto"/>
          <w:sz w:val="20"/>
          <w:szCs w:val="20"/>
          <w:u w:val="none"/>
        </w:rPr>
        <w:t xml:space="preserve"> na Avenida Salvador, s/n, Jardim Guanabara, na cidade de Goiânia-GO, inscrita no CNPJ/MF sob o nº 10.199.860/0001-50</w:t>
      </w:r>
      <w:r>
        <w:rPr>
          <w:rFonts w:eastAsia="Arial" w:cs="Arial" w:ascii="Arial" w:hAnsi="Arial"/>
          <w:sz w:val="20"/>
          <w:szCs w:val="20"/>
        </w:rPr>
        <w:t xml:space="preserve">, neste ato representado pelo </w:t>
      </w:r>
      <w:r>
        <w:rPr>
          <w:rFonts w:eastAsia="Arial" w:cs="Arial" w:ascii="Arial" w:hAnsi="Arial"/>
          <w:b w:val="false"/>
          <w:bCs w:val="false"/>
          <w:i w:val="false"/>
          <w:iCs w:val="false"/>
          <w:color w:val="auto"/>
          <w:sz w:val="20"/>
          <w:szCs w:val="20"/>
          <w:u w:val="none"/>
        </w:rPr>
        <w:t>Tenente Coronel BRUNO TADEU BEZERRA PAIVA</w:t>
      </w:r>
      <w:r>
        <w:rPr>
          <w:rFonts w:eastAsia="Arial" w:cs="Arial" w:ascii="Arial" w:hAnsi="Arial"/>
          <w:sz w:val="20"/>
          <w:szCs w:val="20"/>
        </w:rPr>
        <w:t xml:space="preserve">, nomeado pela Portaria nº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XX</w:t>
      </w:r>
      <w:r>
        <w:rPr>
          <w:rFonts w:eastAsia="Arial" w:cs="Arial" w:ascii="Arial" w:hAnsi="Arial"/>
          <w:sz w:val="20"/>
          <w:szCs w:val="20"/>
        </w:rPr>
        <w:t xml:space="preserve">, de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[dia]</w:t>
      </w:r>
      <w:r>
        <w:rPr>
          <w:rFonts w:eastAsia="Arial" w:cs="Arial" w:ascii="Arial" w:hAnsi="Arial"/>
          <w:sz w:val="20"/>
          <w:szCs w:val="20"/>
        </w:rPr>
        <w:t xml:space="preserve"> de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[mês]</w:t>
      </w:r>
      <w:r>
        <w:rPr>
          <w:rFonts w:ascii="Arial" w:hAnsi="Arial"/>
          <w:color w:val="FF0000"/>
          <w:sz w:val="20"/>
        </w:rPr>
        <w:t xml:space="preserve"> </w:t>
      </w:r>
      <w:r>
        <w:rPr>
          <w:rFonts w:eastAsia="Arial" w:cs="Arial" w:ascii="Arial" w:hAnsi="Arial"/>
          <w:sz w:val="20"/>
          <w:szCs w:val="20"/>
        </w:rPr>
        <w:t xml:space="preserve">de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[ano]</w:t>
      </w:r>
      <w:r>
        <w:rPr>
          <w:rFonts w:eastAsia="Arial" w:cs="Arial" w:ascii="Arial" w:hAnsi="Arial"/>
          <w:sz w:val="20"/>
          <w:szCs w:val="20"/>
        </w:rPr>
        <w:t>, publicada no</w:t>
      </w:r>
      <w:r>
        <w:rPr>
          <w:rFonts w:eastAsia="Arial" w:cs="Arial" w:ascii="Arial" w:hAnsi="Arial"/>
          <w:i/>
          <w:iCs/>
          <w:sz w:val="20"/>
          <w:szCs w:val="20"/>
        </w:rPr>
        <w:t xml:space="preserve"> DOU </w:t>
      </w:r>
      <w:r>
        <w:rPr>
          <w:rFonts w:eastAsia="Arial" w:cs="Arial" w:ascii="Arial" w:hAnsi="Arial"/>
          <w:sz w:val="20"/>
          <w:szCs w:val="20"/>
        </w:rPr>
        <w:t xml:space="preserve">de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[dia]</w:t>
      </w:r>
      <w:r>
        <w:rPr>
          <w:rFonts w:eastAsia="Arial" w:cs="Arial" w:ascii="Arial" w:hAnsi="Arial"/>
          <w:sz w:val="20"/>
          <w:szCs w:val="20"/>
        </w:rPr>
        <w:t xml:space="preserve"> de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[mês]</w:t>
      </w:r>
      <w:r>
        <w:rPr>
          <w:rFonts w:ascii="Arial" w:hAnsi="Arial"/>
          <w:color w:val="FF0000"/>
          <w:sz w:val="20"/>
        </w:rPr>
        <w:t xml:space="preserve"> </w:t>
      </w:r>
      <w:r>
        <w:rPr>
          <w:rFonts w:eastAsia="Arial" w:cs="Arial" w:ascii="Arial" w:hAnsi="Arial"/>
          <w:sz w:val="20"/>
          <w:szCs w:val="20"/>
        </w:rPr>
        <w:t xml:space="preserve">de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[ano]</w:t>
      </w:r>
      <w:r>
        <w:rPr>
          <w:rFonts w:eastAsia="Arial" w:cs="Arial" w:ascii="Arial" w:hAnsi="Arial"/>
          <w:sz w:val="20"/>
          <w:szCs w:val="20"/>
        </w:rPr>
        <w:t xml:space="preserve">, portador da Matrícula Funcional nº </w:t>
      </w:r>
      <w:r>
        <w:rPr>
          <w:rFonts w:eastAsia="Arial" w:cs="Arial" w:ascii="Arial" w:hAnsi="Arial"/>
          <w:i/>
          <w:iCs/>
          <w:color w:val="FF0000"/>
          <w:sz w:val="20"/>
          <w:szCs w:val="20"/>
        </w:rPr>
        <w:t>[nº matrícula]</w:t>
      </w:r>
      <w:r>
        <w:rPr>
          <w:rFonts w:eastAsia="Arial" w:cs="Arial" w:ascii="Arial" w:hAnsi="Arial"/>
          <w:sz w:val="20"/>
          <w:szCs w:val="20"/>
        </w:rPr>
        <w:t>,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  <w:highlight w:val="yellow"/>
        </w:rPr>
        <w:t xml:space="preserve">considerando o julgamento da </w:t>
      </w:r>
      <w:r>
        <w:rPr>
          <w:rFonts w:cs="Arial" w:ascii="Arial" w:hAnsi="Arial"/>
          <w:b w:val="false"/>
          <w:bCs w:val="false"/>
          <w:i/>
          <w:iCs/>
          <w:color w:val="FF0000"/>
          <w:sz w:val="20"/>
          <w:szCs w:val="20"/>
          <w:highlight w:val="yellow"/>
        </w:rPr>
        <w:t>licitação na modalidade de pregão, na forma eletrônica</w:t>
      </w:r>
      <w:r>
        <w:rPr>
          <w:rFonts w:cs="Arial" w:ascii="Arial" w:hAnsi="Arial"/>
          <w:b w:val="false"/>
          <w:bCs w:val="false"/>
          <w:sz w:val="20"/>
          <w:szCs w:val="20"/>
          <w:highlight w:val="yellow"/>
        </w:rPr>
        <w:t xml:space="preserve">, para REGISTRO DE PREÇOS nº 90005/2026, publicada no ...... de ...../...../202....., processo administrativo n.º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0"/>
          <w:szCs w:val="20"/>
          <w:highlight w:val="yellow"/>
          <w:u w:val="none"/>
        </w:rPr>
        <w:t>65324.000467/2026-90</w:t>
      </w:r>
      <w:r>
        <w:rPr>
          <w:rFonts w:cs="Arial" w:ascii="Arial" w:hAnsi="Arial"/>
          <w:b w:val="false"/>
          <w:bCs w:val="false"/>
          <w:sz w:val="20"/>
          <w:szCs w:val="20"/>
        </w:rPr>
        <w:t xml:space="preserve"> RES</w:t>
      </w:r>
      <w:r>
        <w:rPr>
          <w:rFonts w:cs="Arial" w:ascii="Arial" w:hAnsi="Arial"/>
          <w:sz w:val="20"/>
          <w:szCs w:val="20"/>
        </w:rPr>
        <w:t xml:space="preserve">OLVE registrar os preços da(s) empresa(s) indicada(s) e qualificada(s) nesta ATA, de acordo com a classificação por ela(s) alcançada(s) e na(s) quantidade(s) cotada(s), atendendo as condições previstas no </w:t>
      </w:r>
      <w:r>
        <w:rPr>
          <w:rFonts w:cs="Arial" w:ascii="Arial" w:hAnsi="Arial"/>
          <w:i/>
          <w:iCs/>
          <w:color w:val="FF0000"/>
          <w:sz w:val="20"/>
          <w:szCs w:val="20"/>
        </w:rPr>
        <w:t>Edital de licitação</w:t>
      </w:r>
      <w:r>
        <w:rPr>
          <w:rFonts w:cs="Arial" w:ascii="Arial" w:hAnsi="Arial"/>
          <w:sz w:val="20"/>
          <w:szCs w:val="20"/>
        </w:rPr>
        <w:t>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left="0" w:right="0" w:hanging="0"/>
        <w:rPr/>
      </w:pPr>
      <w:r>
        <w:rPr/>
        <w:t>DO OBJETO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/>
        <w:t>A presente Ata tem por objeto o registro de preços para a eventual contratação de aquisição de materiais, equipamentos de segurança eletrônica para renovação, atualização e manutenção do serviço de vigilância eletrônica, (vídeo monitoramento) do COPESP e de suas Organizações Militares</w:t>
      </w:r>
      <w:r>
        <w:rPr>
          <w:b w:val="false"/>
          <w:bCs w:val="false"/>
          <w:color w:val="auto"/>
          <w:u w:val="none"/>
        </w:rPr>
        <w:t>,</w:t>
      </w:r>
      <w:r>
        <w:rPr/>
        <w:t xml:space="preserve"> especificados nos 69 itens</w:t>
      </w:r>
      <w:r>
        <w:rPr>
          <w:i/>
          <w:iCs/>
          <w:color w:val="FF0000"/>
        </w:rPr>
        <w:t xml:space="preserve"> </w:t>
      </w:r>
      <w:r>
        <w:rPr/>
        <w:t>do Termo de Referência, anexo I</w:t>
      </w:r>
      <w:r>
        <w:rPr>
          <w:i/>
          <w:iCs/>
          <w:color w:val="FF0000"/>
        </w:rPr>
        <w:t xml:space="preserve"> </w:t>
      </w:r>
      <w:r>
        <w:rPr>
          <w:iCs/>
        </w:rPr>
        <w:t>do</w:t>
      </w:r>
      <w:r>
        <w:rPr>
          <w:i/>
          <w:iCs/>
        </w:rPr>
        <w:t xml:space="preserve"> </w:t>
      </w:r>
      <w:r>
        <w:rPr>
          <w:i/>
          <w:color w:val="FF0000"/>
        </w:rPr>
        <w:t xml:space="preserve">edital de licitação </w:t>
      </w:r>
      <w:r>
        <w:rPr/>
        <w:t xml:space="preserve">n.º </w:t>
      </w:r>
      <w:r>
        <w:rPr>
          <w:bCs/>
          <w:i/>
          <w:iCs/>
          <w:color w:val="FF0000"/>
        </w:rPr>
        <w:t>90005/2026</w:t>
      </w:r>
      <w:r>
        <w:rPr/>
        <w:t>,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ind w:left="0" w:right="0" w:hanging="0"/>
        <w:rPr/>
      </w:pPr>
      <w:r>
        <w:rPr/>
        <w:t>DOS PREÇOS, ESPECIFICAÇÕES E QUANTITATIVOS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/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W w:w="9392" w:type="dxa"/>
        <w:jc w:val="left"/>
        <w:tblInd w:w="20" w:type="dxa"/>
        <w:tblCellMar>
          <w:top w:w="0" w:type="dxa"/>
          <w:left w:w="10" w:type="dxa"/>
          <w:bottom w:w="0" w:type="dxa"/>
          <w:right w:w="10" w:type="dxa"/>
        </w:tblCellMar>
      </w:tblPr>
      <w:tblGrid>
        <w:gridCol w:w="494"/>
        <w:gridCol w:w="1336"/>
        <w:gridCol w:w="1253"/>
        <w:gridCol w:w="1541"/>
        <w:gridCol w:w="1121"/>
        <w:gridCol w:w="1121"/>
        <w:gridCol w:w="841"/>
        <w:gridCol w:w="840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/>
            </w:pPr>
            <w:r>
              <w:rPr>
                <w:rFonts w:cs="Arial" w:ascii="Arial" w:hAnsi="Arial"/>
                <w:color w:val="auto"/>
                <w:sz w:val="16"/>
                <w:szCs w:val="16"/>
              </w:rPr>
              <w:t xml:space="preserve">Fornecedor </w:t>
            </w:r>
            <w:r>
              <w:rPr>
                <w:rFonts w:cs="Arial" w:ascii="Arial" w:hAnsi="Arial"/>
                <w:i/>
                <w:color w:val="auto"/>
                <w:sz w:val="16"/>
                <w:szCs w:val="16"/>
              </w:rPr>
              <w:t>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X</w:t>
            </w:r>
          </w:p>
        </w:tc>
        <w:tc>
          <w:tcPr>
            <w:tcW w:w="13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color w:val="auto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color w:val="auto"/>
                <w:sz w:val="16"/>
                <w:szCs w:val="16"/>
              </w:rPr>
              <w:t xml:space="preserve">Marca </w:t>
            </w:r>
          </w:p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/>
                <w:i/>
                <w:iCs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auto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color w:val="auto"/>
                <w:sz w:val="16"/>
                <w:szCs w:val="16"/>
              </w:rPr>
              <w:t>Modelo</w:t>
            </w:r>
          </w:p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/>
                <w:i/>
                <w:iCs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auto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color w:val="auto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color w:val="auto"/>
                <w:sz w:val="16"/>
                <w:szCs w:val="16"/>
              </w:rPr>
              <w:t>Quantidade</w:t>
              <w:br/>
              <w:t>Máxima</w:t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color w:val="auto"/>
                <w:sz w:val="16"/>
                <w:szCs w:val="16"/>
              </w:rPr>
              <w:t>Quantidade</w:t>
              <w:br/>
              <w:t>Mínima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color w:val="auto"/>
                <w:sz w:val="16"/>
                <w:szCs w:val="16"/>
              </w:rPr>
              <w:t>Valor</w:t>
              <w:br/>
              <w:t>Unitário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color w:val="auto"/>
                <w:sz w:val="16"/>
                <w:szCs w:val="16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sz w:val="20"/>
          <w:szCs w:val="20"/>
          <w:lang w:eastAsia="en-US"/>
        </w:rPr>
      </w:pPr>
      <w:r>
        <w:rPr>
          <w:rFonts w:cs="Arial" w:ascii="Arial" w:hAnsi="Arial"/>
          <w:sz w:val="20"/>
          <w:szCs w:val="20"/>
          <w:lang w:eastAsia="en-US"/>
        </w:rPr>
      </w:r>
    </w:p>
    <w:p>
      <w:pPr>
        <w:pStyle w:val="Nivel2"/>
        <w:numPr>
          <w:ilvl w:val="1"/>
          <w:numId w:val="1"/>
        </w:numPr>
        <w:ind w:left="0" w:right="0" w:hanging="0"/>
        <w:rPr>
          <w:lang w:eastAsia="en-US"/>
        </w:rPr>
      </w:pPr>
      <w:r>
        <w:rPr>
          <w:lang w:eastAsia="en-US"/>
        </w:rPr>
        <w:t>A listagem do cadastro de reserva referente ao presente registro de preços consta como anexo a esta Ata.</w:t>
      </w:r>
    </w:p>
    <w:p>
      <w:pPr>
        <w:pStyle w:val="Nivel01"/>
        <w:numPr>
          <w:ilvl w:val="0"/>
          <w:numId w:val="1"/>
        </w:numPr>
        <w:ind w:left="0" w:right="0" w:hanging="0"/>
        <w:rPr/>
      </w:pPr>
      <w:r>
        <w:rPr/>
        <w:t>ÓRGÃO(S) GERENCIADOR E PARTICIPANTE(S)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/>
        <w:t xml:space="preserve">O órgão gerenciador será a </w:t>
      </w:r>
      <w:r>
        <w:rPr>
          <w:rFonts w:cs="Times New Roman"/>
          <w:b w:val="false"/>
          <w:bCs w:val="false"/>
          <w:color w:val="auto"/>
          <w:u w:val="none"/>
        </w:rPr>
        <w:t>BASE ADMINISTRATIVA DO COMANDO DE OPERAÇÕES ESPECIAIS.</w:t>
      </w:r>
    </w:p>
    <w:p>
      <w:pPr>
        <w:pStyle w:val="Nvel2Red"/>
        <w:ind w:left="0" w:right="0" w:hanging="0"/>
        <w:rPr/>
      </w:pPr>
      <w:r>
        <w:rPr/>
      </w:r>
    </w:p>
    <w:p>
      <w:pPr>
        <w:pStyle w:val="Nivel01"/>
        <w:numPr>
          <w:ilvl w:val="0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 xml:space="preserve">DA ADESÃO À ATA DE REGISTRO DE PREÇOS </w:t>
      </w:r>
    </w:p>
    <w:p>
      <w:pPr>
        <w:pStyle w:val="Normal"/>
        <w:ind w:left="0" w:right="0" w:hanging="0"/>
        <w:rPr>
          <w:color w:val="auto"/>
        </w:rPr>
      </w:pPr>
      <w:r>
        <w:rPr>
          <w:color w:val="auto"/>
        </w:rPr>
      </w:r>
    </w:p>
    <w:p>
      <w:pPr>
        <w:pStyle w:val="Nvel2Red"/>
        <w:numPr>
          <w:ilvl w:val="1"/>
          <w:numId w:val="1"/>
        </w:numPr>
        <w:ind w:left="0" w:right="0" w:hanging="0"/>
        <w:rPr>
          <w:color w:val="auto"/>
          <w:lang w:eastAsia="en-US"/>
        </w:rPr>
      </w:pPr>
      <w:r>
        <w:rPr>
          <w:color w:val="auto"/>
          <w:lang w:eastAsia="en-US"/>
        </w:rPr>
        <w:t xml:space="preserve"> </w:t>
      </w:r>
      <w:r>
        <w:rPr>
          <w:color w:val="auto"/>
          <w:lang w:eastAsia="en-US"/>
        </w:rPr>
        <w:t xml:space="preserve">Não será admitida a adesão à ata de registro de preços decorrente desta licitação ou desta contratação direta, exceto </w:t>
      </w:r>
      <w:r>
        <w:rPr>
          <w:color w:val="auto"/>
          <w:lang w:eastAsia="en-US"/>
        </w:rPr>
        <w:t>o</w:t>
      </w:r>
      <w:r>
        <w:rPr>
          <w:color w:val="auto"/>
          <w:lang w:eastAsia="en-US"/>
        </w:rPr>
        <w:t xml:space="preserve"> Centro de Instrução de Operações Especiais.</w:t>
      </w:r>
    </w:p>
    <w:p>
      <w:pPr>
        <w:pStyle w:val="SubTitNN"/>
        <w:rPr>
          <w:b w:val="false"/>
          <w:b w:val="false"/>
          <w:bCs w:val="false"/>
          <w:i w:val="false"/>
          <w:i w:val="false"/>
          <w:iCs w:val="false"/>
          <w:color w:val="auto"/>
        </w:rPr>
      </w:pPr>
      <w:r>
        <w:rPr>
          <w:b w:val="false"/>
          <w:bCs w:val="false"/>
          <w:i w:val="false"/>
          <w:iCs w:val="false"/>
          <w:color w:val="auto"/>
        </w:rPr>
        <w:t>Dos limites para as adesões</w:t>
      </w:r>
    </w:p>
    <w:p>
      <w:pPr>
        <w:pStyle w:val="Nvel2Red"/>
        <w:numPr>
          <w:ilvl w:val="1"/>
          <w:numId w:val="1"/>
        </w:numPr>
        <w:ind w:left="0" w:right="0" w:hanging="0"/>
        <w:rPr>
          <w:b w:val="false"/>
          <w:b w:val="false"/>
          <w:bCs w:val="false"/>
          <w:i w:val="false"/>
          <w:i w:val="false"/>
          <w:iCs w:val="false"/>
          <w:color w:val="auto"/>
        </w:rPr>
      </w:pPr>
      <w:r>
        <w:rPr>
          <w:b w:val="false"/>
          <w:bCs w:val="false"/>
          <w:i w:val="false"/>
          <w:iCs w:val="false"/>
          <w:color w:val="auto"/>
        </w:rPr>
        <w:t>As aquisições ou contratações adicionais não poderão exceder, por órgão ou entidade, a cinquenta por cento dos quantitativos dos itens do instrumento convocatório registrados na ata de registro de preços para o gerenciador e para os participantes.</w:t>
      </w:r>
    </w:p>
    <w:p>
      <w:pPr>
        <w:pStyle w:val="Nvel2Red"/>
        <w:numPr>
          <w:ilvl w:val="1"/>
          <w:numId w:val="1"/>
        </w:numPr>
        <w:ind w:left="0" w:right="0" w:hanging="0"/>
        <w:rPr>
          <w:i w:val="false"/>
          <w:i w:val="false"/>
          <w:iCs w:val="false"/>
          <w:color w:val="auto"/>
        </w:rPr>
      </w:pPr>
      <w:r>
        <w:rPr>
          <w:i w:val="false"/>
          <w:iCs w:val="false"/>
          <w:color w:val="auto"/>
        </w:rPr>
        <w:t>O quantitativo decorrente das adesões não poderá exceder, na totalidade, ao dobro do quantitativo de cada item registrado na ata de registro de preços para o gerenciador e os participantes, independentemente do número de órgãos ou entidades não participantes que aderirem à ata de registro de preços.</w:t>
      </w:r>
    </w:p>
    <w:p>
      <w:pPr>
        <w:pStyle w:val="Nvel2Red"/>
        <w:numPr>
          <w:ilvl w:val="1"/>
          <w:numId w:val="1"/>
        </w:numPr>
        <w:ind w:left="0" w:right="0" w:hanging="0"/>
        <w:rPr/>
      </w:pPr>
      <w:r>
        <w:rPr>
          <w:i w:val="false"/>
          <w:iCs w:val="false"/>
          <w:color w:val="auto"/>
        </w:rPr>
        <w:t>Para aquisição emergencial de medicamentos e material de consumo médico-hospitalar por órgãos e en</w:t>
      </w:r>
      <w:r>
        <w:rPr>
          <w:rFonts w:eastAsia="Arial"/>
          <w:i w:val="false"/>
          <w:iCs w:val="false"/>
          <w:color w:val="auto"/>
        </w:rPr>
        <w:t>ti</w:t>
      </w:r>
      <w:r>
        <w:rPr>
          <w:i w:val="false"/>
          <w:iCs w:val="false"/>
          <w:color w:val="auto"/>
        </w:rPr>
        <w:t>dades da Administração Pública federal, estadual, distrital e municipal, a adesão à ata de registro de preços gerenciada pelo Ministério da Saúde não estará sujeita ao limite previsto no item</w:t>
      </w:r>
      <w:r>
        <w:rPr>
          <w:color w:val="auto"/>
        </w:rPr>
        <w:t xml:space="preserve"> 4.7.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>
          <w:color w:val="auto"/>
        </w:rPr>
        <w:t>A adesão à ata de registro de preços por órgãos e en</w:t>
      </w:r>
      <w:r>
        <w:rPr>
          <w:rFonts w:eastAsia="Arial"/>
          <w:color w:val="auto"/>
        </w:rPr>
        <w:t>ti</w:t>
      </w:r>
      <w:r>
        <w:rPr>
          <w:color w:val="auto"/>
        </w:rPr>
        <w:t>dades da Administração Pública estadual, distrital e municipal poderá ser exigida para fins de transferências voluntárias, não ficando sujeita ao limite de que trata o item 4.7, desde que seja des</w:t>
      </w:r>
      <w:r>
        <w:rPr>
          <w:rFonts w:eastAsia="Arial"/>
          <w:color w:val="auto"/>
        </w:rPr>
        <w:t>ti</w:t>
      </w:r>
      <w:r>
        <w:rPr>
          <w:color w:val="auto"/>
        </w:rPr>
        <w:t>nada à execução descentralizada de programa ou projeto federal e comprovada a compatibilidade dos preços registrados com os valores praticados no mercado na forma do art. 23 da Lei nº 14.133, de 2021.</w:t>
      </w:r>
    </w:p>
    <w:p>
      <w:pPr>
        <w:pStyle w:val="SubTitNN"/>
        <w:rPr>
          <w:color w:val="auto"/>
        </w:rPr>
      </w:pPr>
      <w:r>
        <w:rPr>
          <w:color w:val="auto"/>
        </w:rPr>
        <w:t>Vedação a acréscimo de quantitativos</w:t>
      </w:r>
    </w:p>
    <w:p>
      <w:pPr>
        <w:pStyle w:val="Nivel2"/>
        <w:numPr>
          <w:ilvl w:val="1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A validade da Ata de Registro de Preços será de 1 (um) ano, contado a partir do primeiro dia útil subsequente à data de divulgação no PNCP, podendo ser prorrogada por igual período, mediante a anuência do fornecedor, desde que comprovado o preço vantajoso.</w:t>
      </w:r>
    </w:p>
    <w:p>
      <w:pPr>
        <w:pStyle w:val="Nvel3R"/>
        <w:numPr>
          <w:ilvl w:val="2"/>
          <w:numId w:val="1"/>
        </w:numPr>
        <w:ind w:left="284" w:right="0" w:hanging="0"/>
        <w:rPr/>
      </w:pPr>
      <w:r>
        <w:rPr>
          <w:i w:val="false"/>
          <w:iCs w:val="false"/>
          <w:color w:val="000000"/>
        </w:rPr>
        <w:t xml:space="preserve">Em caso de prorrogação da ata, </w:t>
      </w:r>
      <w:r>
        <w:rPr>
          <w:color w:val="000000"/>
        </w:rPr>
        <w:t xml:space="preserve">poderá </w:t>
      </w:r>
      <w:r>
        <w:rPr>
          <w:i w:val="false"/>
          <w:iCs w:val="false"/>
          <w:color w:val="000000"/>
        </w:rPr>
        <w:t>ser renovado o quantitativo originalmente registrado.</w:t>
      </w:r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>
          <w:color w:val="auto"/>
        </w:rPr>
        <w:t>A contratação com os fornecedores registrados na ata será formalizada pelo órgão ou pela en</w:t>
      </w:r>
      <w:r>
        <w:rPr>
          <w:rFonts w:eastAsia="Arial"/>
          <w:color w:val="auto"/>
        </w:rPr>
        <w:t>ti</w:t>
      </w:r>
      <w:r>
        <w:rPr>
          <w:color w:val="auto"/>
        </w:rPr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 xml:space="preserve"> </w:t>
      </w:r>
      <w:r>
        <w:rPr>
          <w:color w:val="auto"/>
        </w:rPr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left="284" w:right="0" w:hanging="0"/>
        <w:rPr/>
      </w:pPr>
      <w:r>
        <w:rPr>
          <w:color w:val="auto"/>
        </w:rPr>
        <w:t>Serão registrados na ata os preços e os quantita</w:t>
      </w:r>
      <w:r>
        <w:rPr>
          <w:rFonts w:eastAsia="Arial"/>
          <w:color w:val="auto"/>
        </w:rPr>
        <w:t>ti</w:t>
      </w:r>
      <w:r>
        <w:rPr>
          <w:color w:val="auto"/>
        </w:rPr>
        <w:t>vos do adjudicatário, devendo ser observada a possibilidade de o licitante oferecer ou não proposta em quantitativo inferior ao máximo previsto n</w:t>
      </w:r>
      <w:r>
        <w:rPr>
          <w:i w:val="false"/>
          <w:iCs w:val="false"/>
          <w:color w:val="auto"/>
        </w:rPr>
        <w:t>o edital e</w:t>
      </w:r>
      <w:r>
        <w:rPr>
          <w:color w:val="auto"/>
        </w:rPr>
        <w:t xml:space="preserve"> se obrigar nos limites dela;</w:t>
      </w:r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left="567" w:right="0" w:hanging="0"/>
        <w:rPr>
          <w:color w:val="auto"/>
        </w:rPr>
      </w:pPr>
      <w:r>
        <w:rPr>
          <w:color w:val="auto"/>
        </w:rPr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left="567" w:right="0" w:hanging="0"/>
        <w:rPr>
          <w:color w:val="auto"/>
        </w:rPr>
      </w:pPr>
      <w:r>
        <w:rPr>
          <w:color w:val="auto"/>
        </w:rPr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>
          <w:color w:val="auto"/>
        </w:rPr>
        <w:t>O registro a que se refere o item 5.4.2</w:t>
      </w:r>
      <w:r>
        <w:rPr>
          <w:b/>
          <w:bCs/>
          <w:color w:val="auto"/>
        </w:rPr>
        <w:t xml:space="preserve"> </w:t>
      </w:r>
      <w:r>
        <w:rPr>
          <w:color w:val="auto"/>
        </w:rPr>
        <w:t>tem por obje</w:t>
      </w:r>
      <w:r>
        <w:rPr>
          <w:rFonts w:eastAsia="Arial"/>
          <w:color w:val="auto"/>
        </w:rPr>
        <w:t>ti</w:t>
      </w:r>
      <w:r>
        <w:rPr>
          <w:color w:val="auto"/>
        </w:rPr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>
          <w:color w:val="auto"/>
        </w:rPr>
        <w:t xml:space="preserve">A habilitação dos licitantes que comporão o cadastro de reserva a que se refere o item </w:t>
      </w:r>
      <w:r>
        <w:rPr>
          <w:color w:val="auto"/>
        </w:rPr>
        <w:fldChar w:fldCharType="begin"/>
      </w:r>
      <w:r>
        <w:rPr>
          <w:color w:val="auto"/>
        </w:rPr>
        <w:instrText> REF cadastro_reserva \r \h </w:instrText>
      </w:r>
      <w:r>
        <w:rPr>
          <w:color w:val="auto"/>
        </w:rPr>
        <w:fldChar w:fldCharType="separate"/>
      </w:r>
      <w:r>
        <w:rPr>
          <w:color w:val="auto"/>
        </w:rPr>
        <w:t>5.4.2.2</w:t>
      </w:r>
      <w:r>
        <w:rPr>
          <w:color w:val="auto"/>
        </w:rPr>
        <w:fldChar w:fldCharType="end"/>
      </w:r>
      <w:r>
        <w:rPr>
          <w:color w:val="auto"/>
        </w:rPr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left="284" w:right="0" w:hanging="0"/>
        <w:rPr/>
      </w:pPr>
      <w:r>
        <w:rPr>
          <w:color w:val="auto"/>
        </w:rPr>
        <w:t xml:space="preserve">Quando o licitante vencedor não assinar a ata de registro de preços, no prazo e nas condições estabelecidos </w:t>
      </w:r>
      <w:r>
        <w:rPr>
          <w:i w:val="false"/>
          <w:iCs w:val="false"/>
          <w:color w:val="auto"/>
        </w:rPr>
        <w:t>no edital e</w:t>
      </w:r>
    </w:p>
    <w:p>
      <w:pPr>
        <w:pStyle w:val="Nvel3"/>
        <w:numPr>
          <w:ilvl w:val="2"/>
          <w:numId w:val="1"/>
        </w:numPr>
        <w:ind w:left="284" w:right="0" w:hanging="0"/>
        <w:rPr/>
      </w:pPr>
      <w:r>
        <w:rPr>
          <w:color w:val="auto"/>
        </w:rPr>
        <w:t xml:space="preserve">Quando houver o cancelamento do registro do licitante ou do registro de preços nas hipóteses previstas no item </w:t>
      </w:r>
      <w:r>
        <w:rPr>
          <w:color w:val="auto"/>
        </w:rPr>
        <w:fldChar w:fldCharType="begin"/>
      </w:r>
      <w:r>
        <w:rPr>
          <w:color w:val="auto"/>
        </w:rPr>
        <w:instrText> REF cancelamento \r \h </w:instrText>
      </w:r>
      <w:r>
        <w:rPr>
          <w:color w:val="auto"/>
        </w:rPr>
        <w:fldChar w:fldCharType="separate"/>
      </w:r>
      <w:r>
        <w:rPr>
          <w:color w:val="auto"/>
        </w:rPr>
        <w:t>9</w:t>
      </w:r>
      <w:r>
        <w:rPr>
          <w:color w:val="auto"/>
        </w:rPr>
        <w:fldChar w:fldCharType="end"/>
      </w:r>
      <w:r>
        <w:rPr>
          <w:color w:val="auto"/>
        </w:rPr>
        <w:t>.</w:t>
      </w:r>
    </w:p>
    <w:p>
      <w:pPr>
        <w:pStyle w:val="Nivel2"/>
        <w:numPr>
          <w:ilvl w:val="1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>
          <w:color w:val="auto"/>
        </w:rPr>
        <w:t xml:space="preserve">Quando o convocado não assinar a ata de registro de preços no prazo e nas condições estabelecidos no edital ou no aviso de contratação, e observado o disposto no item </w:t>
      </w:r>
      <w:r>
        <w:rPr>
          <w:color w:val="auto"/>
        </w:rPr>
        <w:fldChar w:fldCharType="begin"/>
      </w:r>
      <w:r>
        <w:rPr>
          <w:color w:val="auto"/>
        </w:rPr>
        <w:instrText> REF habilitacao_reserva \r \h </w:instrText>
      </w:r>
      <w:r>
        <w:rPr>
          <w:color w:val="auto"/>
        </w:rPr>
        <w:fldChar w:fldCharType="separate"/>
      </w:r>
      <w:r>
        <w:rPr>
          <w:color w:val="auto"/>
        </w:rPr>
        <w:t>Erro: Origem da referência não encontrada</w:t>
      </w:r>
      <w:r>
        <w:rPr>
          <w:color w:val="auto"/>
        </w:rPr>
        <w:fldChar w:fldCharType="end"/>
      </w:r>
      <w:r>
        <w:rPr>
          <w:color w:val="auto"/>
        </w:rPr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>
          <w:color w:val="auto"/>
        </w:rPr>
        <w:t>Na hipótese de nenhum dos licitantes que trata o item 5.4.2.1, aceitar a contratação nos termos do item anterior, a Administração, observados o valor es</w:t>
      </w:r>
      <w:r>
        <w:rPr>
          <w:rFonts w:eastAsia="Arial"/>
          <w:color w:val="auto"/>
        </w:rPr>
        <w:t>ti</w:t>
      </w:r>
      <w:r>
        <w:rPr>
          <w:color w:val="auto"/>
        </w:rPr>
        <w:t xml:space="preserve">mado e sua eventual atualização nos termos do </w:t>
      </w:r>
      <w:r>
        <w:rPr>
          <w:b w:val="false"/>
          <w:bCs w:val="false"/>
          <w:i w:val="false"/>
          <w:iCs w:val="false"/>
          <w:color w:val="auto"/>
          <w:u w:val="none"/>
        </w:rPr>
        <w:t>edital</w:t>
      </w:r>
      <w:r>
        <w:rPr>
          <w:color w:val="auto"/>
        </w:rPr>
        <w:t>, poderá:</w:t>
      </w:r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ALTERAÇÃO OU ATUALIZAÇÃO DOS PREÇOS REGISTRADOS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>
          <w:color w:val="auto"/>
        </w:rPr>
        <w:t>Os preços registrados poderão ser alterados ou atualizados em decorrência de eventual redução dos preços pra</w:t>
      </w:r>
      <w:r>
        <w:rPr>
          <w:rFonts w:eastAsia="Calibri"/>
          <w:color w:val="auto"/>
        </w:rPr>
        <w:t>ti</w:t>
      </w:r>
      <w:r>
        <w:rPr>
          <w:color w:val="auto"/>
        </w:rPr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>
      <w:pPr>
        <w:pStyle w:val="Nvel3"/>
        <w:numPr>
          <w:ilvl w:val="2"/>
          <w:numId w:val="1"/>
        </w:numPr>
        <w:ind w:left="284" w:right="0" w:hanging="0"/>
        <w:rPr/>
      </w:pPr>
      <w:r>
        <w:rPr>
          <w:color w:val="auto"/>
        </w:rPr>
        <w:t>Em caso de criação, alteração ou ex</w:t>
      </w:r>
      <w:r>
        <w:rPr>
          <w:rFonts w:eastAsia="Calibri"/>
          <w:color w:val="auto"/>
        </w:rPr>
        <w:t>ti</w:t>
      </w:r>
      <w:r>
        <w:rPr>
          <w:color w:val="auto"/>
        </w:rPr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left="567" w:right="0" w:hanging="0"/>
        <w:rPr>
          <w:color w:val="auto"/>
        </w:rPr>
      </w:pPr>
      <w:r>
        <w:rPr>
          <w:color w:val="auto"/>
        </w:rPr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left="567" w:right="0" w:hanging="0"/>
        <w:rPr>
          <w:color w:val="auto"/>
        </w:rPr>
      </w:pPr>
      <w:r>
        <w:rPr>
          <w:color w:val="auto"/>
        </w:rPr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NEGOCIAÇÃO DE PREÇOS REGISTRADOS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>
          <w:color w:val="auto"/>
        </w:rPr>
        <w:t>Na hipótese de o preço registrado tornar-se superior ao preço pra</w:t>
      </w:r>
      <w:r>
        <w:rPr>
          <w:rFonts w:eastAsia="Calibri"/>
          <w:color w:val="auto"/>
        </w:rPr>
        <w:t>ti</w:t>
      </w:r>
      <w:r>
        <w:rPr>
          <w:color w:val="auto"/>
        </w:rPr>
        <w:t>cado no mercado por mo</w:t>
      </w:r>
      <w:r>
        <w:rPr>
          <w:rFonts w:eastAsia="Calibri"/>
          <w:color w:val="auto"/>
        </w:rPr>
        <w:t>ti</w:t>
      </w:r>
      <w:r>
        <w:rPr>
          <w:color w:val="auto"/>
        </w:rPr>
        <w:t>vo superveniente, o órgão ou en</w:t>
      </w:r>
      <w:r>
        <w:rPr>
          <w:rFonts w:eastAsia="Calibri"/>
          <w:color w:val="auto"/>
        </w:rPr>
        <w:t>ti</w:t>
      </w:r>
      <w:r>
        <w:rPr>
          <w:color w:val="auto"/>
        </w:rPr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left="284" w:right="0" w:hanging="0"/>
        <w:rPr/>
      </w:pPr>
      <w:r>
        <w:rPr>
          <w:color w:val="auto"/>
        </w:rPr>
        <w:t>Caso não aceite reduzir seu preço aos valores pra</w:t>
      </w:r>
      <w:r>
        <w:rPr>
          <w:rFonts w:eastAsia="Calibri"/>
          <w:color w:val="auto"/>
        </w:rPr>
        <w:t>ti</w:t>
      </w:r>
      <w:r>
        <w:rPr>
          <w:color w:val="auto"/>
        </w:rPr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2"/>
          <w:numId w:val="1"/>
        </w:numPr>
        <w:ind w:left="284" w:right="0" w:hanging="0"/>
        <w:rPr/>
      </w:pPr>
      <w:r>
        <w:rPr>
          <w:color w:val="auto"/>
        </w:rPr>
        <w:t>Se não obtiver êxito nas negociações, o órgão ou en</w:t>
      </w:r>
      <w:r>
        <w:rPr>
          <w:rFonts w:eastAsia="Calibri"/>
          <w:color w:val="auto"/>
        </w:rPr>
        <w:t>tid</w:t>
      </w:r>
      <w:r>
        <w:rPr>
          <w:color w:val="auto"/>
        </w:rPr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left="284" w:right="0" w:hanging="0"/>
        <w:rPr/>
      </w:pPr>
      <w:r>
        <w:rPr>
          <w:rFonts w:cs="Calibri" w:ascii="Calibri" w:hAnsi="Calibri"/>
          <w:color w:val="auto"/>
        </w:rPr>
        <w:t>Na hipótese de</w:t>
      </w:r>
      <w:r>
        <w:rPr>
          <w:color w:val="auto"/>
        </w:rPr>
        <w:t xml:space="preserve"> redução do preço registrado, o gerenciador comunicará aos órgãos e às en</w:t>
      </w:r>
      <w:r>
        <w:rPr>
          <w:rFonts w:eastAsia="Calibri"/>
          <w:color w:val="auto"/>
        </w:rPr>
        <w:t>ti</w:t>
      </w:r>
      <w:r>
        <w:rPr>
          <w:color w:val="auto"/>
        </w:rPr>
        <w:t xml:space="preserve">dades que </w:t>
      </w:r>
      <w:r>
        <w:rPr>
          <w:rFonts w:eastAsia="Calibri"/>
          <w:color w:val="auto"/>
        </w:rPr>
        <w:t>ti</w:t>
      </w:r>
      <w:r>
        <w:rPr>
          <w:color w:val="auto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left="284" w:right="0" w:hanging="0"/>
        <w:rPr/>
      </w:pPr>
      <w:r>
        <w:rPr>
          <w:color w:val="auto"/>
        </w:rPr>
        <w:t>Na hipótese de não comprovação da existência de fato superveniente que inviabilize o preço registrado, o pedido será indeferido pelo órgão ou en</w:t>
      </w:r>
      <w:r>
        <w:rPr>
          <w:rFonts w:eastAsia="Calibri"/>
          <w:color w:val="auto"/>
        </w:rPr>
        <w:t>ti</w:t>
      </w:r>
      <w:r>
        <w:rPr>
          <w:color w:val="auto"/>
        </w:rPr>
        <w:t xml:space="preserve">dade gerenciadora e o fornecedor deverá cumprir as obrigações estabelecidas na ata, sob pena de cancelamento do seu registro, nos termos do item </w:t>
      </w:r>
      <w:r>
        <w:rPr>
          <w:color w:val="auto"/>
        </w:rPr>
        <w:fldChar w:fldCharType="begin"/>
      </w:r>
      <w:r>
        <w:rPr>
          <w:color w:val="auto"/>
        </w:rPr>
        <w:instrText> REF cancelamento_do_fornecedor \r \h </w:instrText>
      </w:r>
      <w:r>
        <w:rPr>
          <w:color w:val="auto"/>
        </w:rPr>
        <w:fldChar w:fldCharType="separate"/>
      </w:r>
      <w:r>
        <w:rPr>
          <w:color w:val="auto"/>
        </w:rPr>
        <w:t>9.1</w:t>
      </w:r>
      <w:r>
        <w:rPr>
          <w:color w:val="auto"/>
        </w:rPr>
        <w:fldChar w:fldCharType="end"/>
      </w:r>
      <w:r>
        <w:rPr>
          <w:color w:val="auto"/>
        </w:rPr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left="284" w:right="0" w:hanging="0"/>
        <w:rPr/>
      </w:pPr>
      <w:r>
        <w:rPr>
          <w:color w:val="auto"/>
        </w:rPr>
        <w:t xml:space="preserve">Se não obtiver êxito nas negociações, o órgão ou entidade gerenciadora procederá ao cancelamento da ata de registro de preços, nos termos do item </w:t>
      </w:r>
      <w:r>
        <w:rPr>
          <w:color w:val="auto"/>
        </w:rPr>
        <w:fldChar w:fldCharType="begin"/>
      </w:r>
      <w:r>
        <w:rPr>
          <w:color w:val="auto"/>
        </w:rPr>
        <w:instrText> REF cancelamento_da_ata \r \h </w:instrText>
      </w:r>
      <w:r>
        <w:rPr>
          <w:color w:val="auto"/>
        </w:rPr>
        <w:fldChar w:fldCharType="separate"/>
      </w:r>
      <w:r>
        <w:rPr>
          <w:color w:val="auto"/>
        </w:rPr>
        <w:t>9.4</w:t>
      </w:r>
      <w:r>
        <w:rPr>
          <w:color w:val="auto"/>
        </w:rPr>
        <w:fldChar w:fldCharType="end"/>
      </w:r>
      <w:r>
        <w:rPr>
          <w:color w:val="auto"/>
        </w:rPr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left="284" w:right="0" w:hanging="0"/>
        <w:rPr/>
      </w:pPr>
      <w:r>
        <w:rPr>
          <w:color w:val="auto"/>
        </w:rPr>
        <w:t xml:space="preserve">Na hipótese de comprovação da majoração do preço de mercado que inviabilize o preço registrado, conforme previsto no item </w:t>
      </w:r>
      <w:r>
        <w:rPr>
          <w:color w:val="auto"/>
        </w:rPr>
        <w:fldChar w:fldCharType="begin"/>
      </w:r>
      <w:r>
        <w:rPr>
          <w:color w:val="auto"/>
        </w:rPr>
        <w:instrText> REF hipotese_preco_mercado_maior \r \h </w:instrText>
      </w:r>
      <w:r>
        <w:rPr>
          <w:color w:val="auto"/>
        </w:rPr>
        <w:fldChar w:fldCharType="separate"/>
      </w:r>
      <w:r>
        <w:rPr>
          <w:color w:val="auto"/>
        </w:rPr>
        <w:t>7.2</w:t>
      </w:r>
      <w:r>
        <w:rPr>
          <w:color w:val="auto"/>
        </w:rPr>
        <w:fldChar w:fldCharType="end"/>
      </w:r>
      <w:r>
        <w:rPr>
          <w:color w:val="auto"/>
        </w:rPr>
        <w:t xml:space="preserve"> e no item </w:t>
      </w:r>
      <w:r>
        <w:rPr>
          <w:color w:val="auto"/>
        </w:rPr>
        <w:fldChar w:fldCharType="begin"/>
      </w:r>
      <w:r>
        <w:rPr>
          <w:color w:val="auto"/>
        </w:rPr>
        <w:instrText> REF prova_preco_mercado_maior \r \h </w:instrText>
      </w:r>
      <w:r>
        <w:rPr>
          <w:color w:val="auto"/>
        </w:rPr>
        <w:fldChar w:fldCharType="separate"/>
      </w:r>
      <w:r>
        <w:rPr>
          <w:color w:val="auto"/>
        </w:rPr>
        <w:t>7.2.1</w:t>
      </w:r>
      <w:r>
        <w:rPr>
          <w:color w:val="auto"/>
        </w:rPr>
        <w:fldChar w:fldCharType="end"/>
      </w:r>
      <w:r>
        <w:rPr>
          <w:color w:val="auto"/>
        </w:rPr>
        <w:t>, o órgão ou en</w:t>
      </w:r>
      <w:r>
        <w:rPr>
          <w:rFonts w:eastAsia="Calibri"/>
          <w:color w:val="auto"/>
        </w:rPr>
        <w:t>ti</w:t>
      </w:r>
      <w:r>
        <w:rPr>
          <w:color w:val="auto"/>
        </w:rPr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left="284" w:right="0" w:hanging="0"/>
        <w:rPr/>
      </w:pPr>
      <w:r>
        <w:rPr>
          <w:color w:val="auto"/>
        </w:rPr>
        <w:t xml:space="preserve"> </w:t>
      </w:r>
      <w:r>
        <w:rPr>
          <w:color w:val="auto"/>
        </w:rPr>
        <w:t>O órgão ou en</w:t>
      </w:r>
      <w:r>
        <w:rPr>
          <w:rFonts w:eastAsia="Calibri"/>
          <w:color w:val="auto"/>
        </w:rPr>
        <w:t>ti</w:t>
      </w:r>
      <w:r>
        <w:rPr>
          <w:color w:val="auto"/>
        </w:rPr>
        <w:t>dade gerenciadora comunicará aos órgãos e às en</w:t>
      </w:r>
      <w:r>
        <w:rPr>
          <w:rFonts w:eastAsia="Calibri"/>
          <w:color w:val="auto"/>
        </w:rPr>
        <w:t>ti</w:t>
      </w:r>
      <w:r>
        <w:rPr>
          <w:color w:val="auto"/>
        </w:rPr>
        <w:t xml:space="preserve">dades que </w:t>
      </w:r>
      <w:r>
        <w:rPr>
          <w:rFonts w:eastAsia="Calibri"/>
          <w:color w:val="auto"/>
        </w:rPr>
        <w:t>ti</w:t>
      </w:r>
      <w:r>
        <w:rPr>
          <w:color w:val="auto"/>
        </w:rPr>
        <w:t>verem firmado contratos decorrentes da ata de registro de preços sobre a efe</w:t>
      </w:r>
      <w:r>
        <w:rPr>
          <w:rFonts w:eastAsia="Calibri"/>
          <w:color w:val="auto"/>
        </w:rPr>
        <w:t>ti</w:t>
      </w:r>
      <w:r>
        <w:rPr>
          <w:color w:val="auto"/>
        </w:rPr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REMANEJAMENTO DAS QUANTIDADES REGISTRADAS NA ATA DE REGISTRO DE PREÇOS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>
          <w:color w:val="auto"/>
        </w:rPr>
        <w:t xml:space="preserve"> </w:t>
      </w:r>
      <w:r>
        <w:rPr>
          <w:color w:val="auto"/>
        </w:rPr>
        <w:t>As quan</w:t>
      </w:r>
      <w:r>
        <w:rPr>
          <w:rFonts w:eastAsia="Arial"/>
          <w:color w:val="auto"/>
        </w:rPr>
        <w:t>ti</w:t>
      </w:r>
      <w:r>
        <w:rPr>
          <w:color w:val="auto"/>
        </w:rPr>
        <w:t>dades previstas para os itens com preços registrados nas atas de registro de preços poderão ser remanejadas pelo órgão ou en</w:t>
      </w:r>
      <w:r>
        <w:rPr>
          <w:rFonts w:eastAsia="Arial"/>
          <w:color w:val="auto"/>
        </w:rPr>
        <w:t>ti</w:t>
      </w:r>
      <w:r>
        <w:rPr>
          <w:color w:val="auto"/>
        </w:rPr>
        <w:t>dade gerenciadora entre os órgãos ou as en</w:t>
      </w:r>
      <w:r>
        <w:rPr>
          <w:rFonts w:eastAsia="Arial"/>
          <w:color w:val="auto"/>
        </w:rPr>
        <w:t>ti</w:t>
      </w:r>
      <w:r>
        <w:rPr>
          <w:color w:val="auto"/>
        </w:rPr>
        <w:t>dades par</w:t>
      </w:r>
      <w:r>
        <w:rPr>
          <w:rFonts w:eastAsia="Arial"/>
          <w:color w:val="auto"/>
        </w:rPr>
        <w:t>ti</w:t>
      </w:r>
      <w:r>
        <w:rPr>
          <w:color w:val="auto"/>
        </w:rPr>
        <w:t>cipantes e não par</w:t>
      </w:r>
      <w:r>
        <w:rPr>
          <w:rFonts w:eastAsia="Arial"/>
          <w:color w:val="auto"/>
        </w:rPr>
        <w:t>ti</w:t>
      </w:r>
      <w:r>
        <w:rPr>
          <w:color w:val="auto"/>
        </w:rPr>
        <w:t>cipantes do registro de preços.</w:t>
      </w:r>
    </w:p>
    <w:p>
      <w:pPr>
        <w:pStyle w:val="Nivel2"/>
        <w:numPr>
          <w:ilvl w:val="1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 xml:space="preserve"> </w:t>
      </w:r>
      <w:r>
        <w:rPr>
          <w:color w:val="auto"/>
        </w:rPr>
        <w:t>O remanejamento somente poderá ser feito:</w:t>
      </w:r>
    </w:p>
    <w:p>
      <w:pPr>
        <w:pStyle w:val="Nvel3"/>
        <w:numPr>
          <w:ilvl w:val="2"/>
          <w:numId w:val="1"/>
        </w:numPr>
        <w:ind w:left="284" w:right="0" w:hanging="0"/>
        <w:rPr/>
      </w:pPr>
      <w:r>
        <w:rPr>
          <w:color w:val="auto"/>
        </w:rPr>
        <w:t>De órgão ou en</w:t>
      </w:r>
      <w:r>
        <w:rPr>
          <w:rFonts w:eastAsia="Arial"/>
          <w:color w:val="auto"/>
        </w:rPr>
        <w:t>ti</w:t>
      </w:r>
      <w:r>
        <w:rPr>
          <w:color w:val="auto"/>
        </w:rPr>
        <w:t>dade par</w:t>
      </w:r>
      <w:r>
        <w:rPr>
          <w:rFonts w:eastAsia="Arial"/>
          <w:color w:val="auto"/>
        </w:rPr>
        <w:t>ti</w:t>
      </w:r>
      <w:r>
        <w:rPr>
          <w:color w:val="auto"/>
        </w:rPr>
        <w:t>cipante para órgão ou en</w:t>
      </w:r>
      <w:r>
        <w:rPr>
          <w:rFonts w:eastAsia="Arial"/>
          <w:color w:val="auto"/>
        </w:rPr>
        <w:t>ti</w:t>
      </w:r>
      <w:r>
        <w:rPr>
          <w:color w:val="auto"/>
        </w:rPr>
        <w:t>dade par</w:t>
      </w:r>
      <w:r>
        <w:rPr>
          <w:rFonts w:eastAsia="Arial"/>
          <w:color w:val="auto"/>
        </w:rPr>
        <w:t>ti</w:t>
      </w:r>
      <w:r>
        <w:rPr>
          <w:color w:val="auto"/>
        </w:rPr>
        <w:t>cipante; ou</w:t>
      </w:r>
    </w:p>
    <w:p>
      <w:pPr>
        <w:pStyle w:val="Nvel3"/>
        <w:numPr>
          <w:ilvl w:val="2"/>
          <w:numId w:val="1"/>
        </w:numPr>
        <w:ind w:left="284" w:right="0" w:hanging="0"/>
        <w:rPr/>
      </w:pPr>
      <w:r>
        <w:rPr>
          <w:color w:val="auto"/>
        </w:rPr>
        <w:t>De órgão ou en</w:t>
      </w:r>
      <w:r>
        <w:rPr>
          <w:rFonts w:eastAsia="Arial"/>
          <w:color w:val="auto"/>
        </w:rPr>
        <w:t>ti</w:t>
      </w:r>
      <w:r>
        <w:rPr>
          <w:color w:val="auto"/>
        </w:rPr>
        <w:t>dade par</w:t>
      </w:r>
      <w:r>
        <w:rPr>
          <w:rFonts w:eastAsia="Arial"/>
          <w:color w:val="auto"/>
        </w:rPr>
        <w:t>ti</w:t>
      </w:r>
      <w:r>
        <w:rPr>
          <w:color w:val="auto"/>
        </w:rPr>
        <w:t>cipante para órgão ou entidade não participante.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>
          <w:color w:val="auto"/>
        </w:rPr>
        <w:t>O órgão ou en</w:t>
      </w:r>
      <w:r>
        <w:rPr>
          <w:rFonts w:eastAsia="Arial"/>
          <w:color w:val="auto"/>
        </w:rPr>
        <w:t>ti</w:t>
      </w:r>
      <w:r>
        <w:rPr>
          <w:color w:val="auto"/>
        </w:rPr>
        <w:t>dade gerenciadora que tiver es</w:t>
      </w:r>
      <w:r>
        <w:rPr>
          <w:rFonts w:eastAsia="Arial"/>
          <w:color w:val="auto"/>
        </w:rPr>
        <w:t>ti</w:t>
      </w:r>
      <w:r>
        <w:rPr>
          <w:color w:val="auto"/>
        </w:rPr>
        <w:t>mado as quan</w:t>
      </w:r>
      <w:r>
        <w:rPr>
          <w:rFonts w:eastAsia="Arial"/>
          <w:color w:val="auto"/>
        </w:rPr>
        <w:t>ti</w:t>
      </w:r>
      <w:r>
        <w:rPr>
          <w:color w:val="auto"/>
        </w:rPr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>
          <w:color w:val="auto"/>
        </w:rPr>
        <w:t>Na hipótese de remanejamento de órgão ou entidade par</w:t>
      </w:r>
      <w:r>
        <w:rPr>
          <w:rFonts w:eastAsia="Arial"/>
          <w:color w:val="auto"/>
        </w:rPr>
        <w:t>ti</w:t>
      </w:r>
      <w:r>
        <w:rPr>
          <w:color w:val="auto"/>
        </w:rPr>
        <w:t>cipante para órgão ou entidade não participante, serão observados os limites previstos no art. 32 do Decreto nº 11.462, de 2023.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>
          <w:color w:val="auto"/>
        </w:rPr>
        <w:t>Competirá ao órgão ou à en</w:t>
      </w:r>
      <w:r>
        <w:rPr>
          <w:rFonts w:eastAsia="Arial"/>
          <w:color w:val="auto"/>
        </w:rPr>
        <w:t>ti</w:t>
      </w:r>
      <w:r>
        <w:rPr>
          <w:color w:val="auto"/>
        </w:rPr>
        <w:t>dade gerenciadora autorizar o remanejamento solicitado, com a redução do quan</w:t>
      </w:r>
      <w:r>
        <w:rPr>
          <w:rFonts w:eastAsia="Arial"/>
          <w:color w:val="auto"/>
        </w:rPr>
        <w:t>ti</w:t>
      </w:r>
      <w:r>
        <w:rPr>
          <w:color w:val="auto"/>
        </w:rPr>
        <w:t>ta</w:t>
      </w:r>
      <w:r>
        <w:rPr>
          <w:rFonts w:eastAsia="Arial"/>
          <w:color w:val="auto"/>
        </w:rPr>
        <w:t>ti</w:t>
      </w:r>
      <w:r>
        <w:rPr>
          <w:color w:val="auto"/>
        </w:rPr>
        <w:t>vo inicialmente informado pelo órgão ou pela en</w:t>
      </w:r>
      <w:r>
        <w:rPr>
          <w:rFonts w:eastAsia="Arial"/>
          <w:color w:val="auto"/>
        </w:rPr>
        <w:t>ti</w:t>
      </w:r>
      <w:r>
        <w:rPr>
          <w:color w:val="auto"/>
        </w:rPr>
        <w:t>dade par</w:t>
      </w:r>
      <w:r>
        <w:rPr>
          <w:rFonts w:eastAsia="Arial"/>
          <w:color w:val="auto"/>
        </w:rPr>
        <w:t>ti</w:t>
      </w:r>
      <w:r>
        <w:rPr>
          <w:color w:val="auto"/>
        </w:rPr>
        <w:t>cipante, desde que haja prévia anuência do órgão ou da en</w:t>
      </w:r>
      <w:r>
        <w:rPr>
          <w:rFonts w:eastAsia="Arial"/>
          <w:color w:val="auto"/>
        </w:rPr>
        <w:t>ti</w:t>
      </w:r>
      <w:r>
        <w:rPr>
          <w:color w:val="auto"/>
        </w:rPr>
        <w:t>dade que sofrer redução dos quantitativos informados.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>
          <w:color w:val="auto"/>
        </w:rPr>
        <w:t>Caso o remanejamento seja feito entre órgãos ou en</w:t>
      </w:r>
      <w:r>
        <w:rPr>
          <w:rFonts w:eastAsia="Arial"/>
          <w:color w:val="auto"/>
        </w:rPr>
        <w:t>ti</w:t>
      </w:r>
      <w:r>
        <w:rPr>
          <w:color w:val="auto"/>
        </w:rPr>
        <w:t>dades dos Estados, do Distrito Federal ou de Municípios dis</w:t>
      </w:r>
      <w:r>
        <w:rPr>
          <w:rFonts w:eastAsia="Arial"/>
          <w:color w:val="auto"/>
        </w:rPr>
        <w:t>ti</w:t>
      </w:r>
      <w:r>
        <w:rPr>
          <w:color w:val="auto"/>
        </w:rPr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>
          <w:color w:val="auto"/>
        </w:rPr>
        <w:t>Na hipótese da compra centralizada, não havendo indicação pelo órgão ou pela en</w:t>
      </w:r>
      <w:r>
        <w:rPr>
          <w:rFonts w:eastAsia="Arial"/>
          <w:color w:val="auto"/>
        </w:rPr>
        <w:t>ti</w:t>
      </w:r>
      <w:r>
        <w:rPr>
          <w:color w:val="auto"/>
        </w:rPr>
        <w:t>dade gerenciadora, dos quan</w:t>
      </w:r>
      <w:r>
        <w:rPr>
          <w:rFonts w:eastAsia="Arial"/>
          <w:color w:val="auto"/>
        </w:rPr>
        <w:t>ti</w:t>
      </w:r>
      <w:r>
        <w:rPr>
          <w:color w:val="auto"/>
        </w:rPr>
        <w:t>ta</w:t>
      </w:r>
      <w:r>
        <w:rPr>
          <w:rFonts w:eastAsia="Arial"/>
          <w:color w:val="auto"/>
        </w:rPr>
        <w:t>ti</w:t>
      </w:r>
      <w:r>
        <w:rPr>
          <w:color w:val="auto"/>
        </w:rPr>
        <w:t>vos dos par</w:t>
      </w:r>
      <w:r>
        <w:rPr>
          <w:rFonts w:eastAsia="Arial"/>
          <w:color w:val="auto"/>
        </w:rPr>
        <w:t>ti</w:t>
      </w:r>
      <w:r>
        <w:rPr>
          <w:color w:val="auto"/>
        </w:rPr>
        <w:t xml:space="preserve">cipantes da compra centralizada, nos termos do item </w:t>
      </w:r>
      <w:r>
        <w:rPr>
          <w:color w:val="auto"/>
        </w:rPr>
        <w:fldChar w:fldCharType="begin"/>
      </w:r>
      <w:r>
        <w:rPr>
          <w:color w:val="auto"/>
        </w:rPr>
        <w:instrText> REF gerenciador_estimador_é_partic_em_remane \r \h </w:instrText>
      </w:r>
      <w:r>
        <w:rPr>
          <w:color w:val="auto"/>
        </w:rPr>
        <w:fldChar w:fldCharType="separate"/>
      </w:r>
      <w:r>
        <w:rPr>
          <w:color w:val="auto"/>
        </w:rPr>
        <w:t>8.3</w:t>
      </w:r>
      <w:r>
        <w:rPr>
          <w:color w:val="auto"/>
        </w:rPr>
        <w:fldChar w:fldCharType="end"/>
      </w:r>
      <w:r>
        <w:rPr>
          <w:color w:val="auto"/>
        </w:rPr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left="284" w:right="0" w:hanging="0"/>
        <w:rPr/>
      </w:pPr>
      <w:r>
        <w:rPr>
          <w:color w:val="auto"/>
        </w:rPr>
        <w:t>Não re</w:t>
      </w:r>
      <w:r>
        <w:rPr>
          <w:rFonts w:eastAsia="Arial"/>
          <w:color w:val="auto"/>
        </w:rPr>
        <w:t>ti</w:t>
      </w:r>
      <w:r>
        <w:rPr>
          <w:color w:val="auto"/>
        </w:rPr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 xml:space="preserve"> </w:t>
      </w:r>
      <w:r>
        <w:rPr>
          <w:color w:val="auto"/>
        </w:rPr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left="567" w:right="0" w:hanging="0"/>
        <w:rPr>
          <w:color w:val="auto"/>
        </w:rPr>
      </w:pPr>
      <w:r>
        <w:rPr>
          <w:color w:val="auto"/>
        </w:rP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>
          <w:color w:val="auto"/>
        </w:rPr>
        <w:t xml:space="preserve"> </w:t>
      </w:r>
      <w:r>
        <w:rPr>
          <w:color w:val="auto"/>
        </w:rPr>
        <w:t xml:space="preserve">O cancelamento de registros nas hipóteses previstas no item </w:t>
      </w:r>
      <w:r>
        <w:rPr>
          <w:color w:val="auto"/>
        </w:rPr>
        <w:fldChar w:fldCharType="begin"/>
      </w:r>
      <w:r>
        <w:rPr>
          <w:color w:val="auto"/>
        </w:rPr>
        <w:instrText> REF cancelamento_do_fornecedor \r \h </w:instrText>
      </w:r>
      <w:r>
        <w:rPr>
          <w:color w:val="auto"/>
        </w:rPr>
        <w:fldChar w:fldCharType="separate"/>
      </w:r>
      <w:r>
        <w:rPr>
          <w:color w:val="auto"/>
        </w:rPr>
        <w:t>9.1</w:t>
      </w:r>
      <w:r>
        <w:rPr>
          <w:color w:val="auto"/>
        </w:rPr>
        <w:fldChar w:fldCharType="end"/>
      </w:r>
      <w:r>
        <w:rPr>
          <w:color w:val="auto"/>
        </w:rPr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>
          <w:color w:val="auto"/>
        </w:rP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>
          <w:color w:val="auto"/>
        </w:rPr>
        <w:t xml:space="preserve"> </w:t>
      </w:r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>Por razão de interesse público;</w:t>
      </w:r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DAS PENALIDADES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>
          <w:color w:val="auto"/>
        </w:rPr>
        <w:t xml:space="preserve">O descumprimento da Ata de Registro de Preços ensejará aplicação das penalidades estabelecidas </w:t>
      </w:r>
      <w:r>
        <w:rPr>
          <w:iCs/>
          <w:color w:val="auto"/>
        </w:rPr>
        <w:t>no</w:t>
      </w:r>
      <w:r>
        <w:rPr>
          <w:i w:val="false"/>
          <w:iCs w:val="false"/>
          <w:color w:val="auto"/>
        </w:rPr>
        <w:t xml:space="preserve"> edital</w:t>
      </w:r>
      <w:r>
        <w:rPr>
          <w:color w:val="auto"/>
        </w:rPr>
        <w:t>.</w:t>
      </w:r>
    </w:p>
    <w:p>
      <w:pPr>
        <w:pStyle w:val="Nvel3"/>
        <w:numPr>
          <w:ilvl w:val="2"/>
          <w:numId w:val="1"/>
        </w:numPr>
        <w:ind w:left="284" w:right="0" w:hanging="0"/>
        <w:rPr>
          <w:color w:val="auto"/>
        </w:rPr>
      </w:pPr>
      <w:r>
        <w:rPr>
          <w:color w:val="auto"/>
        </w:rPr>
        <w:t xml:space="preserve">As sanções também se aplicam aos integrantes do cadastro de reserva no registro de preços que, convocados, não honrarem o compromisso assumido injustificadamente após terem assinado a ata. </w:t>
      </w:r>
    </w:p>
    <w:p>
      <w:pPr>
        <w:pStyle w:val="Nivel2"/>
        <w:numPr>
          <w:ilvl w:val="1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É da competência do gerenciador a aplicação das penalidades decorrentes do descumprimento do pactuado nesta ata de registro de preço (art. 7º, XIV, do Decreto nº 11.462, de 2023), exceto nas hipóteses em que o descumprimento disser respeito às contratações dos órgãos ou entidade participante, caso no qual caberá ao respectivo órgão participante a aplicação da penalidade (art. 8º, IX, do Decreto nº 11.462, de 2023).</w:t>
      </w:r>
    </w:p>
    <w:p>
      <w:pPr>
        <w:pStyle w:val="Nivel2"/>
        <w:numPr>
          <w:ilvl w:val="1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left="0" w:right="0" w:hanging="0"/>
        <w:rPr>
          <w:color w:val="auto"/>
        </w:rPr>
      </w:pPr>
      <w:r>
        <w:rPr>
          <w:color w:val="auto"/>
        </w:rPr>
        <w:t>CONDIÇÕES GERAIS</w:t>
      </w:r>
    </w:p>
    <w:p>
      <w:pPr>
        <w:pStyle w:val="Nivel2"/>
        <w:numPr>
          <w:ilvl w:val="1"/>
          <w:numId w:val="1"/>
        </w:numPr>
        <w:ind w:left="0" w:right="0" w:hanging="0"/>
        <w:rPr/>
      </w:pPr>
      <w:r>
        <w:rPr>
          <w:color w:val="auto"/>
        </w:rPr>
        <w:t>As condições gerais de execução do objeto, tais como os prazos para entrega e recebimento, as obrigações da Administração e do fornecedor registrado, penalidades e demais condições do ajuste, encontram-se definidos no Termo de Referência, anexo ao</w:t>
      </w:r>
      <w:r>
        <w:rPr>
          <w:i/>
          <w:color w:val="auto"/>
        </w:rPr>
        <w:t xml:space="preserve"> </w:t>
      </w:r>
      <w:r>
        <w:rPr>
          <w:i w:val="false"/>
          <w:iCs w:val="false"/>
          <w:color w:val="auto"/>
        </w:rPr>
        <w:t>edital.</w:t>
      </w:r>
    </w:p>
    <w:p>
      <w:pPr>
        <w:pStyle w:val="Nvel2Red"/>
        <w:ind w:left="574" w:right="0" w:hanging="0"/>
        <w:rPr>
          <w:color w:val="auto"/>
        </w:rPr>
      </w:pPr>
      <w:r>
        <w:rPr>
          <w:color w:val="auto"/>
        </w:rPr>
      </w:r>
    </w:p>
    <w:p>
      <w:pPr>
        <w:pStyle w:val="Normal"/>
        <w:widowControl w:val="false"/>
        <w:spacing w:lineRule="auto" w:line="276" w:before="120" w:after="120"/>
        <w:jc w:val="both"/>
        <w:rPr/>
      </w:pPr>
      <w:r>
        <w:rPr>
          <w:rFonts w:cs="Arial" w:ascii="Arial" w:hAnsi="Arial"/>
          <w:color w:val="auto"/>
          <w:sz w:val="20"/>
          <w:szCs w:val="20"/>
        </w:rPr>
        <w:t xml:space="preserve">Para firmeza e validade do pactuado, a presente Ata foi lavrada em 02 (duas) vias de igual teor, que, depois de lida e achada em ordem, vai assinada pelas partes </w:t>
      </w:r>
      <w:r>
        <w:rPr>
          <w:rFonts w:cs="Arial" w:ascii="Arial" w:hAnsi="Arial"/>
          <w:i/>
          <w:iCs/>
          <w:color w:val="auto"/>
          <w:sz w:val="20"/>
          <w:szCs w:val="20"/>
        </w:rPr>
        <w:t xml:space="preserve">e encaminhada cópia aos demais órgãos participantes (se houver). 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cs="Arial"/>
          <w:i/>
          <w:i/>
          <w:iCs/>
          <w:color w:val="auto"/>
          <w:sz w:val="20"/>
          <w:szCs w:val="20"/>
        </w:rPr>
      </w:pPr>
      <w:r>
        <w:rPr>
          <w:rFonts w:cs="Arial" w:ascii="Arial" w:hAnsi="Arial"/>
          <w:i/>
          <w:iCs/>
          <w:color w:val="auto"/>
          <w:sz w:val="20"/>
          <w:szCs w:val="20"/>
        </w:rPr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cs="Arial"/>
          <w:i/>
          <w:i/>
          <w:iCs/>
          <w:color w:val="auto"/>
          <w:sz w:val="20"/>
          <w:szCs w:val="20"/>
        </w:rPr>
      </w:pPr>
      <w:r>
        <w:rPr>
          <w:rFonts w:cs="Arial" w:ascii="Arial" w:hAnsi="Arial"/>
          <w:i/>
          <w:iCs/>
          <w:color w:val="auto"/>
          <w:sz w:val="20"/>
          <w:szCs w:val="20"/>
        </w:rPr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cs="Arial"/>
          <w:i/>
          <w:i/>
          <w:iCs/>
          <w:color w:val="auto"/>
          <w:sz w:val="20"/>
          <w:szCs w:val="20"/>
        </w:rPr>
      </w:pPr>
      <w:r>
        <w:rPr>
          <w:rFonts w:cs="Arial" w:ascii="Arial" w:hAnsi="Arial"/>
          <w:i/>
          <w:iCs/>
          <w:color w:val="auto"/>
          <w:sz w:val="20"/>
          <w:szCs w:val="20"/>
        </w:rPr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cs="Arial"/>
          <w:i/>
          <w:i/>
          <w:iCs/>
          <w:color w:val="auto"/>
          <w:sz w:val="20"/>
          <w:szCs w:val="20"/>
        </w:rPr>
      </w:pPr>
      <w:r>
        <w:rPr>
          <w:rFonts w:cs="Arial" w:ascii="Arial" w:hAnsi="Arial"/>
          <w:i/>
          <w:iCs/>
          <w:color w:val="auto"/>
          <w:sz w:val="20"/>
          <w:szCs w:val="20"/>
        </w:rPr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cs="Arial" w:ascii="Arial" w:hAnsi="Arial"/>
          <w:color w:val="auto"/>
          <w:sz w:val="20"/>
          <w:szCs w:val="20"/>
        </w:rPr>
        <w:t>Goiânia, xx de ma</w:t>
      </w:r>
      <w:r>
        <w:rPr>
          <w:rFonts w:cs="Arial" w:ascii="Arial" w:hAnsi="Arial"/>
          <w:color w:val="auto"/>
          <w:sz w:val="20"/>
          <w:szCs w:val="20"/>
        </w:rPr>
        <w:t xml:space="preserve">io  </w:t>
      </w:r>
      <w:r>
        <w:rPr>
          <w:rFonts w:cs="Arial" w:ascii="Arial" w:hAnsi="Arial"/>
          <w:color w:val="auto"/>
          <w:sz w:val="20"/>
          <w:szCs w:val="20"/>
        </w:rPr>
        <w:t>de 2026</w:t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cs="Arial" w:ascii="Arial" w:hAnsi="Arial"/>
          <w:color w:val="auto"/>
          <w:sz w:val="20"/>
          <w:szCs w:val="20"/>
        </w:rPr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cs="Arial" w:ascii="Arial" w:hAnsi="Arial"/>
          <w:color w:val="auto"/>
          <w:sz w:val="20"/>
          <w:szCs w:val="20"/>
        </w:rPr>
      </w:r>
    </w:p>
    <w:p>
      <w:pPr>
        <w:pStyle w:val="Normal"/>
        <w:widowControl w:val="false"/>
        <w:ind w:left="0" w:right="-30" w:hanging="0"/>
        <w:jc w:val="center"/>
        <w:rPr/>
      </w:pPr>
      <w:r>
        <w:rPr>
          <w:rFonts w:cs="Arial" w:ascii="Arial" w:hAnsi="Arial"/>
          <w:b/>
          <w:bCs/>
          <w:color w:val="auto"/>
          <w:sz w:val="20"/>
          <w:szCs w:val="20"/>
        </w:rPr>
        <w:t>BRUNO TADEU BEZERRA PAIVA</w:t>
      </w:r>
      <w:bookmarkStart w:id="8" w:name="__DdeLink__3286_640437736"/>
      <w:r>
        <w:rPr>
          <w:rFonts w:cs="Arial" w:ascii="Arial" w:hAnsi="Arial"/>
          <w:b/>
          <w:bCs/>
          <w:color w:val="auto"/>
          <w:sz w:val="20"/>
          <w:szCs w:val="20"/>
        </w:rPr>
        <w:t xml:space="preserve"> – Cel</w:t>
      </w:r>
      <w:bookmarkEnd w:id="8"/>
    </w:p>
    <w:p>
      <w:pPr>
        <w:pStyle w:val="Normal"/>
        <w:widowControl w:val="false"/>
        <w:ind w:left="0" w:right="-30" w:hanging="0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cs="Arial" w:ascii="Arial" w:hAnsi="Arial"/>
          <w:color w:val="auto"/>
          <w:sz w:val="20"/>
          <w:szCs w:val="20"/>
        </w:rPr>
        <w:t>Ordenador de Despesas do Comando de Operações Especiais</w:t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cs="Arial" w:ascii="Arial" w:hAnsi="Arial"/>
          <w:color w:val="auto"/>
          <w:sz w:val="20"/>
          <w:szCs w:val="20"/>
        </w:rPr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cs="Arial" w:ascii="Arial" w:hAnsi="Arial"/>
          <w:color w:val="auto"/>
          <w:sz w:val="20"/>
          <w:szCs w:val="20"/>
        </w:rPr>
      </w:r>
    </w:p>
    <w:p>
      <w:pPr>
        <w:pStyle w:val="Normal"/>
        <w:rPr>
          <w:rFonts w:ascii="Arial" w:hAnsi="Arial" w:cs="Arial"/>
          <w:color w:val="auto"/>
          <w:sz w:val="20"/>
          <w:szCs w:val="20"/>
        </w:rPr>
      </w:pPr>
      <w:r>
        <w:rPr>
          <w:rFonts w:cs="Arial" w:ascii="Arial" w:hAnsi="Arial"/>
          <w:color w:val="auto"/>
          <w:sz w:val="20"/>
          <w:szCs w:val="20"/>
        </w:rPr>
      </w:r>
      <w:r>
        <w:br w:type="page"/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ascii="Arial" w:hAnsi="Arial" w:cs="Arial"/>
          <w:b/>
          <w:b/>
          <w:bCs/>
          <w:color w:val="auto"/>
          <w:sz w:val="22"/>
          <w:szCs w:val="22"/>
        </w:rPr>
      </w:pPr>
      <w:r>
        <w:rPr>
          <w:rFonts w:cs="Arial" w:ascii="Arial" w:hAnsi="Arial"/>
          <w:b/>
          <w:bCs/>
          <w:color w:val="auto"/>
          <w:sz w:val="22"/>
          <w:szCs w:val="22"/>
        </w:rPr>
        <w:t>Anexo</w:t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ascii="Arial" w:hAnsi="Arial" w:cs="Arial"/>
          <w:b/>
          <w:b/>
          <w:bCs/>
          <w:i w:val="false"/>
          <w:i w:val="false"/>
          <w:iCs w:val="false"/>
          <w:color w:val="auto"/>
          <w:sz w:val="22"/>
          <w:szCs w:val="22"/>
        </w:rPr>
      </w:pPr>
      <w:r>
        <w:rPr>
          <w:rFonts w:cs="Arial" w:ascii="Arial" w:hAnsi="Arial"/>
          <w:b/>
          <w:bCs/>
          <w:i w:val="false"/>
          <w:iCs w:val="false"/>
          <w:color w:val="auto"/>
          <w:sz w:val="22"/>
          <w:szCs w:val="22"/>
        </w:rPr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ascii="Arial" w:hAnsi="Arial" w:cs="Arial"/>
          <w:b/>
          <w:b/>
          <w:bCs/>
          <w:i w:val="false"/>
          <w:i w:val="false"/>
          <w:iCs w:val="false"/>
          <w:color w:val="auto"/>
          <w:sz w:val="22"/>
          <w:szCs w:val="22"/>
        </w:rPr>
      </w:pPr>
      <w:r>
        <w:rPr>
          <w:rFonts w:cs="Arial" w:ascii="Arial" w:hAnsi="Arial"/>
          <w:b/>
          <w:bCs/>
          <w:i w:val="false"/>
          <w:iCs w:val="false"/>
          <w:color w:val="auto"/>
          <w:sz w:val="22"/>
          <w:szCs w:val="22"/>
        </w:rPr>
        <w:t>Cadastro Reserva</w:t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ascii="Arial" w:hAnsi="Arial" w:cs="Arial"/>
          <w:b/>
          <w:b/>
          <w:bCs/>
          <w:i w:val="false"/>
          <w:i w:val="false"/>
          <w:iCs w:val="false"/>
          <w:color w:val="auto"/>
          <w:sz w:val="20"/>
          <w:szCs w:val="20"/>
        </w:rPr>
      </w:pPr>
      <w:r>
        <w:rPr>
          <w:rFonts w:cs="Arial" w:ascii="Arial" w:hAnsi="Arial"/>
          <w:b/>
          <w:bCs/>
          <w:i w:val="false"/>
          <w:iCs w:val="false"/>
          <w:color w:val="auto"/>
          <w:sz w:val="20"/>
          <w:szCs w:val="20"/>
        </w:rPr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ascii="Arial" w:hAnsi="Arial" w:cs="Arial"/>
          <w:i w:val="false"/>
          <w:i w:val="false"/>
          <w:iCs w:val="false"/>
          <w:color w:val="auto"/>
          <w:sz w:val="20"/>
          <w:szCs w:val="20"/>
        </w:rPr>
      </w:pPr>
      <w:r>
        <w:rPr>
          <w:rFonts w:cs="Arial" w:ascii="Arial" w:hAnsi="Arial"/>
          <w:i w:val="false"/>
          <w:iCs w:val="false"/>
          <w:color w:val="auto"/>
          <w:sz w:val="20"/>
          <w:szCs w:val="2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ascii="Arial" w:hAnsi="Arial" w:cs="Arial"/>
          <w:i w:val="false"/>
          <w:i w:val="false"/>
          <w:iCs w:val="false"/>
          <w:color w:val="auto"/>
          <w:sz w:val="20"/>
          <w:szCs w:val="20"/>
        </w:rPr>
      </w:pPr>
      <w:r>
        <w:rPr>
          <w:rFonts w:cs="Arial" w:ascii="Arial" w:hAnsi="Arial"/>
          <w:i w:val="false"/>
          <w:iCs w:val="false"/>
          <w:color w:val="auto"/>
          <w:sz w:val="20"/>
          <w:szCs w:val="20"/>
        </w:rPr>
      </w:r>
    </w:p>
    <w:tbl>
      <w:tblPr>
        <w:tblW w:w="9392" w:type="dxa"/>
        <w:jc w:val="left"/>
        <w:tblInd w:w="20" w:type="dxa"/>
        <w:tblCellMar>
          <w:top w:w="0" w:type="dxa"/>
          <w:left w:w="10" w:type="dxa"/>
          <w:bottom w:w="0" w:type="dxa"/>
          <w:right w:w="10" w:type="dxa"/>
        </w:tblCellMar>
      </w:tblPr>
      <w:tblGrid>
        <w:gridCol w:w="494"/>
        <w:gridCol w:w="1336"/>
        <w:gridCol w:w="1253"/>
        <w:gridCol w:w="1541"/>
        <w:gridCol w:w="1121"/>
        <w:gridCol w:w="1121"/>
        <w:gridCol w:w="841"/>
        <w:gridCol w:w="840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Fornecedor 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X</w:t>
            </w:r>
          </w:p>
        </w:tc>
        <w:tc>
          <w:tcPr>
            <w:tcW w:w="13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 xml:space="preserve">Marca </w:t>
            </w:r>
          </w:p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Modelo</w:t>
            </w:r>
          </w:p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Quantidade</w:t>
              <w:br/>
              <w:t>Máxima</w:t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Quantidade</w:t>
              <w:br/>
              <w:t>Mínima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Valor</w:t>
              <w:br/>
              <w:t>Unitário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</w:r>
          </w:p>
        </w:tc>
        <w:tc>
          <w:tcPr>
            <w:tcW w:w="13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spacing w:lineRule="auto" w:line="360"/>
        <w:ind w:left="0" w:right="-30" w:hanging="0"/>
        <w:jc w:val="center"/>
        <w:rPr>
          <w:rFonts w:ascii="Arial" w:hAnsi="Arial" w:cs="Arial"/>
          <w:i w:val="false"/>
          <w:i w:val="false"/>
          <w:iCs w:val="false"/>
          <w:color w:val="auto"/>
          <w:sz w:val="20"/>
          <w:szCs w:val="20"/>
        </w:rPr>
      </w:pPr>
      <w:r>
        <w:rPr>
          <w:rFonts w:cs="Arial" w:ascii="Arial" w:hAnsi="Arial"/>
          <w:i w:val="false"/>
          <w:iCs w:val="false"/>
          <w:color w:val="auto"/>
          <w:sz w:val="20"/>
          <w:szCs w:val="20"/>
        </w:rPr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ascii="Arial" w:hAnsi="Arial" w:cs="Arial"/>
          <w:i w:val="false"/>
          <w:i w:val="false"/>
          <w:iCs w:val="false"/>
          <w:color w:val="auto"/>
          <w:sz w:val="20"/>
          <w:szCs w:val="20"/>
        </w:rPr>
      </w:pPr>
      <w:r>
        <w:rPr>
          <w:rFonts w:cs="Arial" w:ascii="Arial" w:hAnsi="Arial"/>
          <w:i w:val="false"/>
          <w:iCs w:val="false"/>
          <w:color w:val="auto"/>
          <w:sz w:val="20"/>
          <w:szCs w:val="20"/>
        </w:rPr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ascii="Arial" w:hAnsi="Arial" w:cs="Arial"/>
          <w:i w:val="false"/>
          <w:i w:val="false"/>
          <w:iCs w:val="false"/>
          <w:color w:val="auto"/>
          <w:sz w:val="20"/>
          <w:szCs w:val="20"/>
        </w:rPr>
      </w:pPr>
      <w:r>
        <w:rPr>
          <w:rFonts w:cs="Arial" w:ascii="Arial" w:hAnsi="Arial"/>
          <w:i w:val="false"/>
          <w:iCs w:val="false"/>
          <w:color w:val="auto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left="0" w:right="-30" w:hanging="0"/>
        <w:jc w:val="center"/>
        <w:rPr>
          <w:rFonts w:ascii="Arial" w:hAnsi="Arial" w:cs="Arial"/>
          <w:i w:val="false"/>
          <w:i w:val="false"/>
          <w:iCs w:val="false"/>
          <w:color w:val="auto"/>
          <w:sz w:val="20"/>
          <w:szCs w:val="20"/>
        </w:rPr>
      </w:pPr>
      <w:r>
        <w:rPr>
          <w:rFonts w:cs="Arial" w:ascii="Arial" w:hAnsi="Arial"/>
          <w:i w:val="false"/>
          <w:iCs w:val="false"/>
          <w:color w:val="auto"/>
          <w:sz w:val="20"/>
          <w:szCs w:val="20"/>
        </w:rPr>
      </w:r>
    </w:p>
    <w:tbl>
      <w:tblPr>
        <w:tblW w:w="9392" w:type="dxa"/>
        <w:jc w:val="left"/>
        <w:tblInd w:w="20" w:type="dxa"/>
        <w:tblCellMar>
          <w:top w:w="0" w:type="dxa"/>
          <w:left w:w="10" w:type="dxa"/>
          <w:bottom w:w="0" w:type="dxa"/>
          <w:right w:w="10" w:type="dxa"/>
        </w:tblCellMar>
      </w:tblPr>
      <w:tblGrid>
        <w:gridCol w:w="494"/>
        <w:gridCol w:w="1336"/>
        <w:gridCol w:w="1253"/>
        <w:gridCol w:w="1541"/>
        <w:gridCol w:w="1121"/>
        <w:gridCol w:w="1121"/>
        <w:gridCol w:w="841"/>
        <w:gridCol w:w="840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Fornecedor 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X</w:t>
            </w:r>
          </w:p>
        </w:tc>
        <w:tc>
          <w:tcPr>
            <w:tcW w:w="13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 xml:space="preserve">Marca </w:t>
            </w:r>
          </w:p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Modelo</w:t>
            </w:r>
          </w:p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Quantidade</w:t>
              <w:br/>
              <w:t>Máxima</w:t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Quantidade</w:t>
              <w:br/>
              <w:t>Mínima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Valor</w:t>
              <w:br/>
              <w:t>Unitário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ind w:left="0" w:right="-28" w:hanging="0"/>
              <w:jc w:val="center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</w:r>
          </w:p>
        </w:tc>
        <w:tc>
          <w:tcPr>
            <w:tcW w:w="13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left="0"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auto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auto"/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spacing w:lineRule="auto" w:line="360"/>
        <w:ind w:left="0" w:right="-30" w:hanging="0"/>
        <w:jc w:val="center"/>
        <w:rPr/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701" w:right="1134" w:header="708" w:top="1418" w:footer="708" w:bottom="141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Ecofont_Spranq_eco_Sans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color w:val="8496B0"/>
        <w:spacing w:val="60"/>
      </w:rPr>
    </w:pPr>
    <w:r>
      <w:rPr>
        <w:color w:val="8496B0"/>
        <w:spacing w:val="60"/>
      </w:rPr>
      <w:tab/>
      <w:tab/>
    </w:r>
  </w:p>
  <w:p>
    <w:pPr>
      <w:pStyle w:val="Rodap"/>
      <w:rPr/>
    </w:pPr>
    <w:r>
      <w:rPr>
        <w:color w:val="7F7F7F"/>
        <w:spacing w:val="60"/>
      </w:rPr>
      <w:tab/>
      <w:tab/>
    </w:r>
    <w:r>
      <w:rPr>
        <w:rFonts w:cs="Arial" w:ascii="Arial" w:hAnsi="Arial"/>
        <w:color w:val="595959"/>
        <w:spacing w:val="60"/>
        <w:sz w:val="18"/>
        <w:szCs w:val="18"/>
      </w:rPr>
      <w:t>Página</w:t>
    </w:r>
    <w:r>
      <w:rPr>
        <w:rFonts w:cs="Arial" w:ascii="Arial" w:hAnsi="Arial"/>
        <w:color w:val="595959"/>
        <w:sz w:val="18"/>
        <w:szCs w:val="18"/>
      </w:rPr>
      <w:t xml:space="preserve">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sz w:val="18"/>
        <w:szCs w:val="18"/>
        <w:rFonts w:cs="Arial" w:ascii="Arial" w:hAnsi="Arial"/>
        <w:color w:val="595959"/>
      </w:rPr>
      <w:instrText> PAGE </w:instrText>
    </w:r>
    <w:r>
      <w:rPr>
        <w:sz w:val="18"/>
        <w:szCs w:val="18"/>
        <w:rFonts w:cs="Arial" w:ascii="Arial" w:hAnsi="Arial"/>
        <w:color w:val="595959"/>
      </w:rPr>
      <w:fldChar w:fldCharType="separate"/>
    </w:r>
    <w:r>
      <w:rPr>
        <w:sz w:val="18"/>
        <w:szCs w:val="18"/>
        <w:rFonts w:cs="Arial" w:ascii="Arial" w:hAnsi="Arial"/>
        <w:color w:val="595959"/>
      </w:rPr>
      <w:t>8</w:t>
    </w:r>
    <w:r>
      <w:rPr>
        <w:sz w:val="18"/>
        <w:szCs w:val="18"/>
        <w:rFonts w:cs="Arial" w:ascii="Arial" w:hAnsi="Arial"/>
        <w:color w:val="595959"/>
      </w:rPr>
      <w:fldChar w:fldCharType="end"/>
    </w:r>
    <w:r>
      <w:rPr>
        <w:rFonts w:cs="Arial" w:ascii="Arial" w:hAnsi="Arial"/>
        <w:color w:val="595959"/>
        <w:sz w:val="18"/>
        <w:szCs w:val="18"/>
      </w:rPr>
      <w:t xml:space="preserve"> | </w:t>
    </w:r>
    <w:r>
      <w:rPr>
        <w:rFonts w:cs="Arial" w:ascii="Arial" w:hAnsi="Arial"/>
        <w:color w:val="595959"/>
        <w:sz w:val="18"/>
        <w:szCs w:val="18"/>
      </w:rPr>
      <w:fldChar w:fldCharType="begin"/>
    </w:r>
    <w:r>
      <w:rPr>
        <w:sz w:val="18"/>
        <w:szCs w:val="18"/>
        <w:rFonts w:cs="Arial" w:ascii="Arial" w:hAnsi="Arial"/>
        <w:color w:val="595959"/>
      </w:rPr>
      <w:instrText> NUMPAGES </w:instrText>
    </w:r>
    <w:r>
      <w:rPr>
        <w:sz w:val="18"/>
        <w:szCs w:val="18"/>
        <w:rFonts w:cs="Arial" w:ascii="Arial" w:hAnsi="Arial"/>
        <w:color w:val="595959"/>
      </w:rPr>
      <w:fldChar w:fldCharType="separate"/>
    </w:r>
    <w:r>
      <w:rPr>
        <w:sz w:val="18"/>
        <w:szCs w:val="18"/>
        <w:rFonts w:cs="Arial" w:ascii="Arial" w:hAnsi="Arial"/>
        <w:color w:val="595959"/>
      </w:rPr>
      <w:t>8</w:t>
    </w:r>
    <w:r>
      <w:rPr>
        <w:sz w:val="18"/>
        <w:szCs w:val="18"/>
        <w:rFonts w:cs="Arial" w:ascii="Arial" w:hAnsi="Arial"/>
        <w:color w:val="595959"/>
      </w:rPr>
      <w:fldChar w:fldCharType="end"/>
    </w:r>
  </w:p>
  <w:p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>Câmara Nacional de Modelos de Licitações e Contratos da Consultoria-Geral da União</w:t>
    </w:r>
  </w:p>
  <w:p>
    <w:pPr>
      <w:pStyle w:val="Rodap"/>
      <w:rPr/>
    </w:pPr>
    <w:r>
      <w:rPr>
        <w:rFonts w:cs="Arial" w:ascii="Arial" w:hAnsi="Arial"/>
        <w:sz w:val="14"/>
        <w:szCs w:val="14"/>
      </w:rPr>
      <w:t xml:space="preserve">Modelo de </w:t>
    </w:r>
    <w:r>
      <w:rPr>
        <w:rFonts w:ascii="Arial" w:hAnsi="Arial"/>
        <w:sz w:val="14"/>
      </w:rPr>
      <w:t>Modelo Ata de Registro de Preços - Lei nº 14.133, de 2021</w:t>
    </w:r>
  </w:p>
  <w:p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>Aprovado pela Secretaria de Gestão e Inovação</w:t>
    </w:r>
  </w:p>
  <w:p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>Identidade visual pela Secretaria de Gestão e Inovação</w:t>
    </w:r>
  </w:p>
  <w:p>
    <w:pPr>
      <w:pStyle w:val="Rodap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  <w:t>Atualização: ABR/2025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4" w:hanging="432"/>
      </w:pPr>
      <w:rPr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97" w:hanging="50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0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qFormat/>
    <w:pPr>
      <w:keepNext w:val="true"/>
      <w:keepLines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DefaultParagraphFont">
    <w:name w:val="Default Paragraph Font"/>
    <w:qFormat/>
    <w:rPr/>
  </w:style>
  <w:style w:type="character" w:styleId="GradeColoridanfase1Char">
    <w:name w:val="Grade Colorida - Ênfase 1 Char"/>
    <w:qFormat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>
    <w:name w:val="Corpo de texto Char"/>
    <w:qFormat/>
    <w:rPr>
      <w:sz w:val="24"/>
      <w:szCs w:val="24"/>
    </w:rPr>
  </w:style>
  <w:style w:type="character" w:styleId="LinkdaInternet">
    <w:name w:val="Link da Internet"/>
    <w:rPr>
      <w:color w:val="0000FF"/>
      <w:u w:val="single"/>
    </w:rPr>
  </w:style>
  <w:style w:type="character" w:styleId="CabealhoChar">
    <w:name w:val="Cabeçalho Char"/>
    <w:basedOn w:val="DefaultParagraphFont"/>
    <w:qFormat/>
    <w:rPr>
      <w:rFonts w:ascii="Ecofont_Spranq_eco_Sans" w:hAnsi="Ecofont_Spranq_eco_Sans" w:cs="Tahoma"/>
      <w:sz w:val="24"/>
      <w:szCs w:val="24"/>
    </w:rPr>
  </w:style>
  <w:style w:type="character" w:styleId="RodapChar">
    <w:name w:val="Rodapé Char"/>
    <w:basedOn w:val="DefaultParagraphFont"/>
    <w:qFormat/>
    <w:rPr>
      <w:rFonts w:ascii="Ecofont_Spranq_eco_Sans" w:hAnsi="Ecofont_Spranq_eco_Sans" w:cs="Tahoma"/>
      <w:sz w:val="24"/>
      <w:szCs w:val="24"/>
    </w:rPr>
  </w:style>
  <w:style w:type="character" w:styleId="Citao2Char">
    <w:name w:val="citação 2 Char"/>
    <w:basedOn w:val="CitaoChar"/>
    <w:qFormat/>
    <w:rPr>
      <w:rFonts w:ascii="Ecofont_Spranq_eco_Sans" w:hAnsi="Ecofont_Spranq_eco_Sans" w:eastAsia="Calibri" w:cs="Tahoma"/>
      <w:i/>
      <w:iCs/>
      <w:color w:val="000000"/>
      <w:sz w:val="24"/>
      <w:szCs w:val="24"/>
      <w:highlight w:val="yellow"/>
      <w:lang w:eastAsia="en-US"/>
    </w:rPr>
  </w:style>
  <w:style w:type="character" w:styleId="CitaoChar">
    <w:name w:val="Citação Char"/>
    <w:basedOn w:val="DefaultParagraphFont"/>
    <w:qFormat/>
    <w:rPr>
      <w:rFonts w:ascii="Ecofont_Spranq_eco_Sans" w:hAnsi="Ecofont_Spranq_eco_Sans" w:cs="Tahoma"/>
      <w:i/>
      <w:iCs/>
      <w:color w:val="000000"/>
      <w:sz w:val="24"/>
      <w:szCs w:val="24"/>
    </w:rPr>
  </w:style>
  <w:style w:type="character" w:styleId="Ttulo1Char">
    <w:name w:val="Título 1 Char"/>
    <w:basedOn w:val="DefaultParagraphFont"/>
    <w:qFormat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Nivel1Char">
    <w:name w:val="Nivel1 Char"/>
    <w:basedOn w:val="Ttulo1Char"/>
    <w:qFormat/>
    <w:rPr>
      <w:rFonts w:ascii="Arial" w:hAnsi="Arial" w:eastAsia="Times New Roman" w:cs="Arial"/>
      <w:b/>
      <w:bCs/>
      <w:color w:val="365F91"/>
      <w:sz w:val="28"/>
      <w:szCs w:val="28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TextodecomentrioChar">
    <w:name w:val="Texto de comentário Char"/>
    <w:basedOn w:val="DefaultParagraphFont"/>
    <w:qFormat/>
    <w:rPr>
      <w:rFonts w:ascii="Ecofont_Spranq_eco_Sans" w:hAnsi="Ecofont_Spranq_eco_Sans" w:cs="Tahoma"/>
    </w:rPr>
  </w:style>
  <w:style w:type="character" w:styleId="AssuntodocomentrioChar">
    <w:name w:val="Assunto do comentário Char"/>
    <w:basedOn w:val="TextodecomentrioChar"/>
    <w:qFormat/>
    <w:rPr>
      <w:rFonts w:ascii="Ecofont_Spranq_eco_Sans" w:hAnsi="Ecofont_Spranq_eco_Sans" w:cs="Tahoma"/>
      <w:b/>
      <w:bCs/>
    </w:rPr>
  </w:style>
  <w:style w:type="character" w:styleId="TextodebaloChar">
    <w:name w:val="Texto de balão Char"/>
    <w:basedOn w:val="DefaultParagraphFont"/>
    <w:qFormat/>
    <w:rPr>
      <w:rFonts w:ascii="Segoe UI" w:hAnsi="Segoe UI" w:cs="Segoe UI"/>
      <w:sz w:val="18"/>
      <w:szCs w:val="18"/>
    </w:rPr>
  </w:style>
  <w:style w:type="character" w:styleId="Nivel01Char">
    <w:name w:val="Nivel 01 Char"/>
    <w:basedOn w:val="DefaultParagraphFont"/>
    <w:qFormat/>
    <w:rPr>
      <w:rFonts w:ascii="Arial" w:hAnsi="Arial" w:eastAsia="Times New Roman" w:cs="Arial"/>
      <w:b/>
      <w:bCs/>
      <w:lang w:eastAsia="en-US"/>
    </w:rPr>
  </w:style>
  <w:style w:type="character" w:styleId="Nivel2Char">
    <w:name w:val="Nivel 2 Char"/>
    <w:basedOn w:val="DefaultParagraphFont"/>
    <w:qFormat/>
    <w:rPr>
      <w:rFonts w:ascii="Arial" w:hAnsi="Arial" w:cs="Arial"/>
    </w:rPr>
  </w:style>
  <w:style w:type="character" w:styleId="Nvel2RedChar">
    <w:name w:val="Nível 2 -Red Char"/>
    <w:basedOn w:val="Nivel2Char"/>
    <w:qFormat/>
    <w:rPr>
      <w:rFonts w:ascii="Arial" w:hAnsi="Arial" w:cs="Arial"/>
      <w:i/>
      <w:iCs/>
      <w:color w:val="FF0000"/>
    </w:rPr>
  </w:style>
  <w:style w:type="character" w:styleId="OuChar">
    <w:name w:val="ou Char"/>
    <w:basedOn w:val="DefaultParagraphFont"/>
    <w:qFormat/>
    <w:rPr>
      <w:rFonts w:ascii="Arial" w:hAnsi="Arial" w:eastAsia="Calibri" w:cs="Arial"/>
      <w:b/>
      <w:bCs/>
      <w:i/>
      <w:iCs/>
      <w:color w:val="FF0000"/>
      <w:szCs w:val="24"/>
      <w:u w:val="single"/>
    </w:rPr>
  </w:style>
  <w:style w:type="character" w:styleId="Nvel3RChar">
    <w:name w:val="Nível 3-R Char"/>
    <w:basedOn w:val="DefaultParagraphFont"/>
    <w:qFormat/>
    <w:rPr>
      <w:rFonts w:ascii="Arial" w:hAnsi="Arial" w:eastAsia="Times New Roman" w:cs="Arial"/>
      <w:i/>
      <w:iCs/>
      <w:color w:val="FF0000"/>
    </w:rPr>
  </w:style>
  <w:style w:type="character" w:styleId="Nvel3Char">
    <w:name w:val="Nível 3 Char"/>
    <w:basedOn w:val="Nvel3RChar"/>
    <w:qFormat/>
    <w:rPr>
      <w:rFonts w:ascii="Arial" w:hAnsi="Arial" w:eastAsia="Times New Roman" w:cs="Arial"/>
      <w:i w:val="false"/>
      <w:iCs w:val="false"/>
      <w:color w:val="FF0000"/>
    </w:rPr>
  </w:style>
  <w:style w:type="character" w:styleId="Nvel4Char">
    <w:name w:val="Nível 4 Char"/>
    <w:basedOn w:val="Nvel3Char"/>
    <w:qFormat/>
    <w:rPr>
      <w:rFonts w:ascii="Arial" w:hAnsi="Arial" w:eastAsia="Times New Roman" w:cs="Arial"/>
      <w:i w:val="false"/>
      <w:iCs w:val="false"/>
      <w:color w:val="FF0000"/>
    </w:rPr>
  </w:style>
  <w:style w:type="character" w:styleId="SubTitNNChar">
    <w:name w:val="SubTitNN Char"/>
    <w:basedOn w:val="DefaultParagraphFont"/>
    <w:qFormat/>
    <w:rPr>
      <w:rFonts w:ascii="Arial" w:hAnsi="Arial" w:cs="Arial"/>
      <w:b/>
      <w:bCs/>
      <w:i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before="280" w:after="280"/>
    </w:pPr>
    <w:rPr>
      <w:rFonts w:ascii="Times New Roman" w:hAnsi="Times New Roman" w:cs="Times New Roman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GradeColoridanfase11">
    <w:name w:val="Grade Colorida - Ênfase 1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>
    <w:name w:val="citação 2"/>
    <w:basedOn w:val="Quote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qFormat/>
    <w:pPr/>
    <w:rPr>
      <w:i/>
      <w:iCs/>
      <w:color w:val="000000"/>
    </w:rPr>
  </w:style>
  <w:style w:type="paragraph" w:styleId="Nivel1">
    <w:name w:val="Nivel1"/>
    <w:basedOn w:val="Ttulo1"/>
    <w:next w:val="Normal"/>
    <w:qFormat/>
    <w:pPr>
      <w:widowControl w:val="false"/>
      <w:spacing w:lineRule="auto" w:line="276" w:before="480" w:after="120"/>
      <w:ind w:left="360" w:right="0" w:hanging="360"/>
      <w:jc w:val="both"/>
    </w:pPr>
    <w:rPr>
      <w:rFonts w:ascii="Arial" w:hAnsi="Arial" w:cs="Arial"/>
      <w:color w:val="auto"/>
      <w:sz w:val="20"/>
      <w:szCs w:val="20"/>
    </w:rPr>
  </w:style>
  <w:style w:type="paragraph" w:styleId="Nivel01">
    <w:name w:val="Nivel 01"/>
    <w:basedOn w:val="Ttulo1"/>
    <w:next w:val="Normal"/>
    <w:qFormat/>
    <w:pPr>
      <w:tabs>
        <w:tab w:val="clear" w:pos="708"/>
        <w:tab w:val="left" w:pos="567" w:leader="none"/>
      </w:tabs>
      <w:spacing w:lineRule="auto" w:line="276" w:before="120" w:after="120"/>
      <w:ind w:left="0" w:right="0" w:hanging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paragraph" w:styleId="Revision">
    <w:name w:val="Revision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>
    <w:name w:val="Nivel 2"/>
    <w:basedOn w:val="Normal"/>
    <w:qFormat/>
    <w:pPr>
      <w:spacing w:lineRule="auto" w:line="276" w:before="120" w:after="120"/>
      <w:ind w:left="0" w:right="0" w:hanging="0"/>
      <w:jc w:val="both"/>
    </w:pPr>
    <w:rPr>
      <w:rFonts w:ascii="Arial" w:hAnsi="Arial" w:cs="Arial"/>
      <w:sz w:val="20"/>
      <w:szCs w:val="20"/>
    </w:rPr>
  </w:style>
  <w:style w:type="paragraph" w:styleId="Nvel2Red">
    <w:name w:val="Nível 2 -Red"/>
    <w:basedOn w:val="Nivel2"/>
    <w:qFormat/>
    <w:pPr/>
    <w:rPr>
      <w:i/>
      <w:iCs/>
      <w:color w:val="FF0000"/>
    </w:rPr>
  </w:style>
  <w:style w:type="paragraph" w:styleId="Ou">
    <w:name w:val="ou"/>
    <w:basedOn w:val="ListParagraph"/>
    <w:qFormat/>
    <w:pPr>
      <w:spacing w:lineRule="auto" w:line="259" w:before="60" w:after="60"/>
      <w:ind w:left="0" w:right="0" w:hanging="0"/>
      <w:contextualSpacing/>
      <w:jc w:val="center"/>
    </w:pPr>
    <w:rPr>
      <w:rFonts w:ascii="Arial" w:hAnsi="Arial" w:eastAsia="Calibri" w:cs="Arial"/>
      <w:b/>
      <w:bCs/>
      <w:i/>
      <w:iCs/>
      <w:color w:val="FF0000"/>
      <w:sz w:val="20"/>
      <w:u w:val="single"/>
    </w:rPr>
  </w:style>
  <w:style w:type="paragraph" w:styleId="Nvel3R">
    <w:name w:val="Nível 3-R"/>
    <w:basedOn w:val="Normal"/>
    <w:qFormat/>
    <w:pPr>
      <w:spacing w:lineRule="auto" w:line="276" w:before="120" w:after="120"/>
      <w:ind w:left="284" w:right="0" w:hanging="0"/>
      <w:jc w:val="both"/>
    </w:pPr>
    <w:rPr>
      <w:rFonts w:ascii="Arial" w:hAnsi="Arial" w:eastAsia="Times New Roman" w:cs="Arial"/>
      <w:i/>
      <w:iCs/>
      <w:color w:val="FF0000"/>
      <w:sz w:val="20"/>
      <w:szCs w:val="20"/>
    </w:rPr>
  </w:style>
  <w:style w:type="paragraph" w:styleId="Nvel3">
    <w:name w:val="Nível 3"/>
    <w:basedOn w:val="Nvel3R"/>
    <w:qFormat/>
    <w:pPr/>
    <w:rPr>
      <w:rFonts w:eastAsia="Times New Roman"/>
      <w:i w:val="false"/>
      <w:iCs w:val="false"/>
      <w:color w:val="auto"/>
    </w:rPr>
  </w:style>
  <w:style w:type="paragraph" w:styleId="Nvel4">
    <w:name w:val="Nível 4"/>
    <w:basedOn w:val="Nvel3"/>
    <w:qFormat/>
    <w:pPr>
      <w:ind w:left="567" w:right="0" w:hanging="0"/>
    </w:pPr>
    <w:rPr/>
  </w:style>
  <w:style w:type="paragraph" w:styleId="SubTitNN">
    <w:name w:val="SubTitNN"/>
    <w:basedOn w:val="Normal"/>
    <w:qFormat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Application>LibreOffice/6.4.7.2$Linux_X86_64 LibreOffice_project/40$Build-2</Application>
  <Pages>8</Pages>
  <Words>3123</Words>
  <Characters>17192</Characters>
  <CharactersWithSpaces>20097</CharactersWithSpaces>
  <Paragraphs>158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2025-03-21T11:23:00Z</dcterms:created>
  <dc:creator/>
  <dc:description/>
  <dc:language>pt-BR</dc:language>
  <cp:lastModifiedBy/>
  <dcterms:modified xsi:type="dcterms:W3CDTF">2026-05-26T11:03:32Z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